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bookmarkStart w:id="0" w:name="_GoBack"/>
      <w:bookmarkEnd w:id="0"/>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（填写具体在外活动内容），起止时间为年月日至年月日。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ind w:left="4198" w:leftChars="1999"/>
        <w:rPr>
          <w:rFonts w:ascii="仿宋_GB2312" w:eastAsia="仿宋_GB2312"/>
          <w:color w:val="000000"/>
          <w:sz w:val="24"/>
        </w:rPr>
      </w:pPr>
    </w:p>
    <w:p>
      <w:pPr>
        <w:jc w:val="right"/>
      </w:pPr>
      <w:r>
        <w:rPr>
          <w:rFonts w:hint="eastAsia" w:ascii="仿宋_GB2312" w:eastAsia="仿宋_GB2312"/>
          <w:color w:val="000000"/>
          <w:sz w:val="24"/>
        </w:rPr>
        <w:t xml:space="preserve">年　　　月　　　日  </w:t>
      </w:r>
    </w:p>
    <w:p>
      <w:pPr>
        <w:rPr>
          <w:rFonts w:ascii="黑体" w:hAnsi="黑体" w:eastAsia="黑体" w:cs="Times New Roman"/>
          <w:color w:val="000000"/>
          <w:szCs w:val="21"/>
        </w:rPr>
      </w:pPr>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C2C41"/>
    <w:rsid w:val="00FC4C37"/>
    <w:rsid w:val="00FE2DCB"/>
    <w:rsid w:val="00FF4AB0"/>
    <w:rsid w:val="00FF66B1"/>
    <w:rsid w:val="71316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3315A-99C0-429D-AD94-7AFFD69DF6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287</Words>
  <Characters>1636</Characters>
  <Lines>13</Lines>
  <Paragraphs>3</Paragraphs>
  <TotalTime>69</TotalTime>
  <ScaleCrop>false</ScaleCrop>
  <LinksUpToDate>false</LinksUpToDate>
  <CharactersWithSpaces>1920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始终矛盾</cp:lastModifiedBy>
  <cp:lastPrinted>2018-04-17T03:49:00Z</cp:lastPrinted>
  <dcterms:modified xsi:type="dcterms:W3CDTF">2018-10-15T04:54:16Z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