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黑体" w:eastAsia="黑体"/>
          <w:color w:val="auto"/>
          <w:sz w:val="52"/>
          <w:highlight w:val="none"/>
        </w:rPr>
      </w:pPr>
    </w:p>
    <w:p>
      <w:pPr>
        <w:spacing w:line="1600" w:lineRule="exact"/>
        <w:outlineLvl w:val="0"/>
        <w:rPr>
          <w:rFonts w:ascii="方正黑体_GBK" w:hAnsi="宋体" w:eastAsia="方正黑体_GBK"/>
          <w:color w:val="auto"/>
          <w:sz w:val="144"/>
          <w:szCs w:val="144"/>
          <w:highlight w:val="none"/>
        </w:rPr>
      </w:pPr>
    </w:p>
    <w:p>
      <w:pPr>
        <w:spacing w:line="1600" w:lineRule="exact"/>
        <w:jc w:val="center"/>
        <w:outlineLvl w:val="0"/>
        <w:rPr>
          <w:rFonts w:ascii="方正黑体_GBK" w:hAnsi="宋体" w:eastAsia="方正黑体_GBK"/>
          <w:color w:val="auto"/>
          <w:sz w:val="112"/>
          <w:szCs w:val="112"/>
          <w:highlight w:val="none"/>
        </w:rPr>
      </w:pPr>
      <w:r>
        <w:rPr>
          <w:rFonts w:hint="eastAsia" w:ascii="方正黑体_GBK" w:hAnsi="宋体" w:eastAsia="方正黑体_GBK"/>
          <w:color w:val="auto"/>
          <w:sz w:val="112"/>
          <w:szCs w:val="112"/>
          <w:highlight w:val="none"/>
        </w:rPr>
        <w:t>竞 争 性 磋 商    文  件</w:t>
      </w:r>
    </w:p>
    <w:p>
      <w:pPr>
        <w:pStyle w:val="25"/>
        <w:spacing w:line="500" w:lineRule="exact"/>
        <w:ind w:left="0"/>
        <w:jc w:val="center"/>
        <w:rPr>
          <w:rFonts w:eastAsia="黑体"/>
          <w:color w:val="auto"/>
          <w:sz w:val="32"/>
          <w:highlight w:val="none"/>
        </w:rPr>
      </w:pPr>
    </w:p>
    <w:p>
      <w:pPr>
        <w:pStyle w:val="25"/>
        <w:spacing w:line="500" w:lineRule="exact"/>
        <w:ind w:left="0"/>
        <w:jc w:val="center"/>
        <w:rPr>
          <w:rFonts w:eastAsia="黑体"/>
          <w:color w:val="auto"/>
          <w:sz w:val="32"/>
          <w:highlight w:val="none"/>
        </w:rPr>
      </w:pPr>
    </w:p>
    <w:p>
      <w:pPr>
        <w:pStyle w:val="25"/>
        <w:spacing w:line="360" w:lineRule="auto"/>
        <w:ind w:left="0"/>
        <w:rPr>
          <w:rFonts w:eastAsia="黑体"/>
          <w:color w:val="auto"/>
          <w:sz w:val="32"/>
          <w:highlight w:val="none"/>
        </w:rPr>
      </w:pPr>
    </w:p>
    <w:p>
      <w:pPr>
        <w:pStyle w:val="25"/>
        <w:spacing w:line="360" w:lineRule="auto"/>
        <w:ind w:left="0"/>
        <w:jc w:val="center"/>
        <w:rPr>
          <w:rFonts w:eastAsia="黑体"/>
          <w:color w:val="auto"/>
          <w:sz w:val="32"/>
          <w:highlight w:val="none"/>
        </w:rPr>
      </w:pPr>
    </w:p>
    <w:p>
      <w:pPr>
        <w:spacing w:line="360" w:lineRule="auto"/>
        <w:rPr>
          <w:rFonts w:ascii="方正小标宋_GBK" w:hAnsi="宋体" w:eastAsia="方正小标宋_GBK"/>
          <w:color w:val="auto"/>
          <w:sz w:val="32"/>
          <w:highlight w:val="none"/>
        </w:rPr>
      </w:pPr>
      <w:r>
        <w:rPr>
          <w:rFonts w:hint="eastAsia" w:ascii="方正小标宋_GBK" w:hAnsi="宋体" w:eastAsia="方正小标宋_GBK"/>
          <w:color w:val="auto"/>
          <w:sz w:val="32"/>
          <w:highlight w:val="none"/>
        </w:rPr>
        <w:t xml:space="preserve">招标项目编号：泓展招字（2017）156号 </w:t>
      </w:r>
    </w:p>
    <w:p>
      <w:pPr>
        <w:spacing w:line="360" w:lineRule="auto"/>
        <w:rPr>
          <w:rFonts w:hint="eastAsia" w:ascii="方正小标宋_GBK" w:hAnsi="宋体" w:eastAsia="方正小标宋_GBK"/>
          <w:color w:val="auto"/>
          <w:sz w:val="32"/>
          <w:highlight w:val="none"/>
          <w:lang w:eastAsia="zh-CN"/>
        </w:rPr>
      </w:pPr>
      <w:r>
        <w:rPr>
          <w:rFonts w:hint="eastAsia" w:ascii="方正小标宋_GBK" w:hAnsi="宋体" w:eastAsia="方正小标宋_GBK"/>
          <w:color w:val="auto"/>
          <w:sz w:val="32"/>
          <w:highlight w:val="none"/>
        </w:rPr>
        <w:t>招标项目名称：</w:t>
      </w:r>
      <w:r>
        <w:rPr>
          <w:rFonts w:hint="eastAsia" w:ascii="方正小标宋_GBK" w:hAnsi="宋体" w:eastAsia="方正小标宋_GBK"/>
          <w:color w:val="auto"/>
          <w:sz w:val="32"/>
          <w:szCs w:val="22"/>
          <w:highlight w:val="none"/>
          <w:lang w:eastAsia="zh-CN"/>
        </w:rPr>
        <w:t>四川外国语大学游泳池监理单位服务采购（第二次）</w:t>
      </w:r>
    </w:p>
    <w:p>
      <w:pPr>
        <w:spacing w:line="360" w:lineRule="auto"/>
        <w:rPr>
          <w:rFonts w:ascii="方正小标宋_GBK" w:hAnsi="宋体" w:eastAsia="方正小标宋_GBK"/>
          <w:color w:val="auto"/>
          <w:sz w:val="32"/>
          <w:highlight w:val="none"/>
        </w:rPr>
      </w:pPr>
      <w:r>
        <w:rPr>
          <w:rFonts w:hint="eastAsia" w:ascii="方正小标宋_GBK" w:hAnsi="宋体" w:eastAsia="方正小标宋_GBK"/>
          <w:color w:val="auto"/>
          <w:sz w:val="32"/>
          <w:highlight w:val="none"/>
        </w:rPr>
        <w:t>采   购   人：四川外国语大学招投标采购办公室</w:t>
      </w:r>
    </w:p>
    <w:p>
      <w:pPr>
        <w:spacing w:line="360" w:lineRule="auto"/>
        <w:rPr>
          <w:rFonts w:ascii="方正小标宋_GBK" w:hAnsi="宋体" w:eastAsia="方正小标宋_GBK"/>
          <w:color w:val="auto"/>
          <w:sz w:val="32"/>
          <w:highlight w:val="none"/>
        </w:rPr>
      </w:pPr>
      <w:r>
        <w:rPr>
          <w:rFonts w:hint="eastAsia" w:ascii="方正小标宋_GBK" w:hAnsi="宋体" w:eastAsia="方正小标宋_GBK"/>
          <w:color w:val="auto"/>
          <w:sz w:val="32"/>
          <w:highlight w:val="none"/>
        </w:rPr>
        <w:t>采购代理机构：重庆泓展建设工程咨询有限公司</w:t>
      </w:r>
    </w:p>
    <w:p>
      <w:pPr>
        <w:snapToGrid w:val="0"/>
        <w:spacing w:line="500" w:lineRule="exact"/>
        <w:jc w:val="center"/>
        <w:rPr>
          <w:rFonts w:ascii="方正小标宋_GBK" w:eastAsia="方正小标宋_GBK"/>
          <w:color w:val="auto"/>
          <w:sz w:val="36"/>
          <w:highlight w:val="none"/>
        </w:rPr>
      </w:pPr>
    </w:p>
    <w:p>
      <w:pPr>
        <w:snapToGrid w:val="0"/>
        <w:spacing w:line="500" w:lineRule="exact"/>
        <w:jc w:val="center"/>
        <w:rPr>
          <w:rFonts w:ascii="方正小标宋_GBK" w:eastAsia="方正小标宋_GBK"/>
          <w:color w:val="auto"/>
          <w:sz w:val="36"/>
          <w:highlight w:val="none"/>
        </w:rPr>
      </w:pPr>
    </w:p>
    <w:p>
      <w:pPr>
        <w:snapToGrid w:val="0"/>
        <w:spacing w:line="500" w:lineRule="exact"/>
        <w:rPr>
          <w:rFonts w:ascii="方正小标宋_GBK" w:eastAsia="方正小标宋_GBK"/>
          <w:color w:val="auto"/>
          <w:sz w:val="36"/>
          <w:highlight w:val="none"/>
        </w:rPr>
      </w:pPr>
    </w:p>
    <w:p>
      <w:pPr>
        <w:snapToGrid w:val="0"/>
        <w:spacing w:line="500" w:lineRule="exact"/>
        <w:jc w:val="center"/>
        <w:rPr>
          <w:rFonts w:ascii="方正小标宋_GBK" w:eastAsia="方正小标宋_GBK"/>
          <w:color w:val="auto"/>
          <w:sz w:val="36"/>
          <w:highlight w:val="none"/>
        </w:rPr>
      </w:pPr>
    </w:p>
    <w:p>
      <w:pPr>
        <w:spacing w:line="360" w:lineRule="auto"/>
        <w:jc w:val="center"/>
        <w:rPr>
          <w:rFonts w:ascii="方正小标宋_GBK" w:hAnsi="宋体" w:eastAsia="方正小标宋_GBK"/>
          <w:color w:val="auto"/>
          <w:sz w:val="32"/>
          <w:highlight w:val="none"/>
        </w:rPr>
      </w:pPr>
      <w:r>
        <w:rPr>
          <w:rFonts w:hint="eastAsia" w:ascii="方正小标宋_GBK" w:hAnsi="宋体" w:eastAsia="方正小标宋_GBK"/>
          <w:color w:val="auto"/>
          <w:sz w:val="32"/>
          <w:highlight w:val="none"/>
        </w:rPr>
        <w:t>二0一八年</w:t>
      </w:r>
      <w:r>
        <w:rPr>
          <w:rFonts w:hint="eastAsia" w:ascii="方正小标宋_GBK" w:hAnsi="宋体" w:eastAsia="方正小标宋_GBK"/>
          <w:color w:val="auto"/>
          <w:sz w:val="32"/>
          <w:highlight w:val="none"/>
          <w:lang w:eastAsia="zh-CN"/>
        </w:rPr>
        <w:t>七</w:t>
      </w:r>
      <w:r>
        <w:rPr>
          <w:rFonts w:hint="eastAsia" w:ascii="方正小标宋_GBK" w:hAnsi="宋体" w:eastAsia="方正小标宋_GBK"/>
          <w:color w:val="auto"/>
          <w:sz w:val="32"/>
          <w:highlight w:val="none"/>
        </w:rPr>
        <w:t>月</w:t>
      </w:r>
    </w:p>
    <w:p>
      <w:pPr>
        <w:snapToGrid w:val="0"/>
        <w:spacing w:line="500" w:lineRule="exact"/>
        <w:rPr>
          <w:rFonts w:eastAsia="黑体"/>
          <w:color w:val="auto"/>
          <w:sz w:val="44"/>
          <w:highlight w:val="none"/>
        </w:rPr>
        <w:sectPr>
          <w:headerReference r:id="rId5"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pPr>
        <w:snapToGrid w:val="0"/>
        <w:spacing w:line="500" w:lineRule="exact"/>
        <w:jc w:val="center"/>
        <w:rPr>
          <w:rFonts w:ascii="方正黑体_GBK" w:eastAsia="方正黑体_GBK"/>
          <w:color w:val="auto"/>
          <w:sz w:val="44"/>
          <w:highlight w:val="none"/>
        </w:rPr>
      </w:pPr>
    </w:p>
    <w:p>
      <w:pPr>
        <w:snapToGrid w:val="0"/>
        <w:spacing w:line="500" w:lineRule="exact"/>
        <w:jc w:val="center"/>
        <w:rPr>
          <w:rFonts w:ascii="方正黑体_GBK" w:eastAsia="方正黑体_GBK"/>
          <w:color w:val="auto"/>
          <w:sz w:val="44"/>
          <w:highlight w:val="none"/>
        </w:rPr>
      </w:pPr>
      <w:r>
        <w:rPr>
          <w:rFonts w:hint="eastAsia" w:ascii="方正黑体_GBK" w:eastAsia="方正黑体_GBK"/>
          <w:color w:val="auto"/>
          <w:sz w:val="44"/>
          <w:highlight w:val="none"/>
        </w:rPr>
        <w:t>目  录</w:t>
      </w:r>
    </w:p>
    <w:p>
      <w:pPr>
        <w:pStyle w:val="40"/>
        <w:ind w:firstLine="0" w:firstLineChars="0"/>
        <w:rPr>
          <w:color w:val="auto"/>
          <w:sz w:val="32"/>
          <w:highlight w:val="none"/>
        </w:rPr>
      </w:pPr>
    </w:p>
    <w:p>
      <w:pPr>
        <w:pStyle w:val="127"/>
        <w:tabs>
          <w:tab w:val="right" w:leader="dot" w:pos="9412"/>
        </w:tabs>
        <w:rPr>
          <w:color w:val="auto"/>
          <w:sz w:val="28"/>
          <w:szCs w:val="28"/>
          <w:highlight w:val="none"/>
        </w:rPr>
      </w:pPr>
    </w:p>
    <w:p>
      <w:pPr>
        <w:pStyle w:val="127"/>
        <w:tabs>
          <w:tab w:val="right" w:leader="dot" w:pos="9412"/>
        </w:tabs>
        <w:rPr>
          <w:color w:val="auto"/>
          <w:sz w:val="28"/>
          <w:szCs w:val="28"/>
          <w:highlight w:val="none"/>
        </w:rPr>
      </w:pPr>
    </w:p>
    <w:sdt>
      <w:sdtPr>
        <w:rPr>
          <w:rFonts w:ascii="宋体" w:hAnsi="宋体" w:eastAsia="宋体" w:cs="Times New Roman"/>
          <w:color w:val="auto"/>
          <w:kern w:val="2"/>
          <w:sz w:val="21"/>
          <w:highlight w:val="none"/>
          <w:lang w:val="en-US" w:eastAsia="zh-CN" w:bidi="ar-SA"/>
        </w:rPr>
        <w:id w:val="147473763"/>
        <w:docPartObj>
          <w:docPartGallery w:val="Table of Contents"/>
          <w:docPartUnique/>
        </w:docPartObj>
      </w:sdtPr>
      <w:sdtEndPr>
        <w:rPr>
          <w:rFonts w:ascii="Times New Roman" w:hAnsi="Times New Roman" w:eastAsia="宋体" w:cs="Times New Roman"/>
          <w:color w:val="auto"/>
          <w:kern w:val="2"/>
          <w:sz w:val="21"/>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bookmarkStart w:id="0" w:name="_Toc20664_WPSOffice_Type1"/>
        </w:p>
        <w:p>
          <w:pPr>
            <w:pStyle w:val="127"/>
            <w:tabs>
              <w:tab w:val="right" w:leader="dot" w:pos="9412"/>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_Toc8640_WPSOffice_Level1 </w:instrText>
          </w:r>
          <w:r>
            <w:rPr>
              <w:color w:val="auto"/>
              <w:sz w:val="28"/>
              <w:szCs w:val="28"/>
              <w:highlight w:val="none"/>
            </w:rPr>
            <w:fldChar w:fldCharType="separate"/>
          </w:r>
          <w:sdt>
            <w:sdtPr>
              <w:rPr>
                <w:rFonts w:ascii="Times New Roman" w:hAnsi="Times New Roman" w:eastAsia="宋体" w:cs="Times New Roman"/>
                <w:color w:val="auto"/>
                <w:kern w:val="2"/>
                <w:sz w:val="44"/>
                <w:szCs w:val="28"/>
                <w:highlight w:val="none"/>
                <w:lang w:val="en-US" w:eastAsia="zh-CN" w:bidi="ar-SA"/>
              </w:rPr>
              <w:id w:val="147473763"/>
              <w:placeholder>
                <w:docPart w:val="{c270abcd-5a74-4b78-bb53-c2d7b30e0e40}"/>
              </w:placeholder>
            </w:sdtPr>
            <w:sdtEndPr>
              <w:rPr>
                <w:rFonts w:ascii="Times New Roman" w:hAnsi="Times New Roman" w:eastAsia="宋体" w:cs="Times New Roman"/>
                <w:color w:val="auto"/>
                <w:kern w:val="2"/>
                <w:sz w:val="44"/>
                <w:szCs w:val="28"/>
                <w:highlight w:val="none"/>
                <w:lang w:val="en-US" w:eastAsia="zh-CN" w:bidi="ar-SA"/>
              </w:rPr>
            </w:sdtEndPr>
            <w:sdtContent>
              <w:r>
                <w:rPr>
                  <w:rFonts w:hint="default" w:ascii="方正小标宋_GBK" w:hAnsi="Times New Roman" w:eastAsia="方正小标宋_GBK" w:cs="Times New Roman"/>
                  <w:color w:val="auto"/>
                  <w:sz w:val="28"/>
                  <w:szCs w:val="28"/>
                  <w:highlight w:val="none"/>
                </w:rPr>
                <w:t xml:space="preserve">第一篇 </w:t>
              </w:r>
              <w:r>
                <w:rPr>
                  <w:rFonts w:hint="eastAsia" w:ascii="方正小标宋_GBK" w:eastAsia="方正小标宋_GBK" w:cs="Times New Roman"/>
                  <w:color w:val="auto"/>
                  <w:sz w:val="28"/>
                  <w:szCs w:val="28"/>
                  <w:highlight w:val="none"/>
                  <w:lang w:val="en-US" w:eastAsia="zh-CN"/>
                </w:rPr>
                <w:t xml:space="preserve"> </w:t>
              </w:r>
              <w:r>
                <w:rPr>
                  <w:rFonts w:hint="eastAsia" w:ascii="方正小标宋_GBK" w:hAnsi="Times New Roman" w:eastAsia="方正小标宋_GBK" w:cs="Times New Roman"/>
                  <w:color w:val="auto"/>
                  <w:sz w:val="28"/>
                  <w:szCs w:val="28"/>
                  <w:highlight w:val="none"/>
                </w:rPr>
                <w:t>投标邀请书</w:t>
              </w:r>
            </w:sdtContent>
          </w:sdt>
          <w:r>
            <w:rPr>
              <w:color w:val="auto"/>
              <w:sz w:val="28"/>
              <w:szCs w:val="28"/>
              <w:highlight w:val="none"/>
            </w:rPr>
            <w:tab/>
          </w:r>
          <w:bookmarkStart w:id="1" w:name="_Toc8640_WPSOffice_Level1Page"/>
          <w:r>
            <w:rPr>
              <w:color w:val="auto"/>
              <w:sz w:val="28"/>
              <w:szCs w:val="28"/>
              <w:highlight w:val="none"/>
            </w:rPr>
            <w:t>2</w:t>
          </w:r>
          <w:bookmarkEnd w:id="1"/>
          <w:r>
            <w:rPr>
              <w:color w:val="auto"/>
              <w:sz w:val="28"/>
              <w:szCs w:val="28"/>
              <w:highlight w:val="none"/>
            </w:rPr>
            <w:fldChar w:fldCharType="end"/>
          </w:r>
        </w:p>
        <w:p>
          <w:pPr>
            <w:pStyle w:val="127"/>
            <w:tabs>
              <w:tab w:val="right" w:leader="dot" w:pos="9412"/>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_Toc20664_WPSOffice_Level1 </w:instrText>
          </w:r>
          <w:r>
            <w:rPr>
              <w:color w:val="auto"/>
              <w:sz w:val="28"/>
              <w:szCs w:val="28"/>
              <w:highlight w:val="none"/>
            </w:rPr>
            <w:fldChar w:fldCharType="separate"/>
          </w:r>
          <w:sdt>
            <w:sdtPr>
              <w:rPr>
                <w:rFonts w:ascii="Times New Roman" w:hAnsi="Times New Roman" w:eastAsia="宋体" w:cs="Times New Roman"/>
                <w:color w:val="auto"/>
                <w:kern w:val="2"/>
                <w:sz w:val="44"/>
                <w:szCs w:val="28"/>
                <w:highlight w:val="none"/>
                <w:lang w:val="en-US" w:eastAsia="zh-CN" w:bidi="ar-SA"/>
              </w:rPr>
              <w:id w:val="147473763"/>
              <w:placeholder>
                <w:docPart w:val="{5b189bf6-9422-4a52-abdb-3ee201557baa}"/>
              </w:placeholder>
            </w:sdtPr>
            <w:sdtEndPr>
              <w:rPr>
                <w:rFonts w:ascii="Times New Roman" w:hAnsi="Times New Roman" w:eastAsia="宋体" w:cs="Times New Roman"/>
                <w:color w:val="auto"/>
                <w:kern w:val="2"/>
                <w:sz w:val="44"/>
                <w:szCs w:val="28"/>
                <w:highlight w:val="none"/>
                <w:lang w:val="en-US" w:eastAsia="zh-CN" w:bidi="ar-SA"/>
              </w:rPr>
            </w:sdtEndPr>
            <w:sdtContent>
              <w:r>
                <w:rPr>
                  <w:rFonts w:hint="eastAsia" w:ascii="方正小标宋_GBK" w:hAnsi="Times New Roman" w:eastAsia="方正小标宋_GBK" w:cs="Times New Roman"/>
                  <w:color w:val="auto"/>
                  <w:sz w:val="28"/>
                  <w:szCs w:val="28"/>
                  <w:highlight w:val="none"/>
                </w:rPr>
                <w:t>第三篇  项目商务要求</w:t>
              </w:r>
            </w:sdtContent>
          </w:sdt>
          <w:r>
            <w:rPr>
              <w:color w:val="auto"/>
              <w:sz w:val="28"/>
              <w:szCs w:val="28"/>
              <w:highlight w:val="none"/>
            </w:rPr>
            <w:tab/>
          </w:r>
          <w:bookmarkStart w:id="2" w:name="_Toc20664_WPSOffice_Level1Page"/>
          <w:r>
            <w:rPr>
              <w:color w:val="auto"/>
              <w:sz w:val="28"/>
              <w:szCs w:val="28"/>
              <w:highlight w:val="none"/>
            </w:rPr>
            <w:t>7</w:t>
          </w:r>
          <w:bookmarkEnd w:id="2"/>
          <w:r>
            <w:rPr>
              <w:color w:val="auto"/>
              <w:sz w:val="28"/>
              <w:szCs w:val="28"/>
              <w:highlight w:val="none"/>
            </w:rPr>
            <w:fldChar w:fldCharType="end"/>
          </w:r>
        </w:p>
        <w:p>
          <w:pPr>
            <w:pStyle w:val="127"/>
            <w:tabs>
              <w:tab w:val="right" w:leader="dot" w:pos="9412"/>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_Toc25868_WPSOffice_Level1 </w:instrText>
          </w:r>
          <w:r>
            <w:rPr>
              <w:color w:val="auto"/>
              <w:sz w:val="28"/>
              <w:szCs w:val="28"/>
              <w:highlight w:val="none"/>
            </w:rPr>
            <w:fldChar w:fldCharType="separate"/>
          </w:r>
          <w:sdt>
            <w:sdtPr>
              <w:rPr>
                <w:rFonts w:ascii="Times New Roman" w:hAnsi="Times New Roman" w:eastAsia="宋体" w:cs="Times New Roman"/>
                <w:color w:val="auto"/>
                <w:kern w:val="2"/>
                <w:sz w:val="44"/>
                <w:szCs w:val="28"/>
                <w:highlight w:val="none"/>
                <w:lang w:val="en-US" w:eastAsia="zh-CN" w:bidi="ar-SA"/>
              </w:rPr>
              <w:id w:val="147473763"/>
              <w:placeholder>
                <w:docPart w:val="{95faf153-6b2a-4fdd-9367-11c19171805d}"/>
              </w:placeholder>
            </w:sdtPr>
            <w:sdtEndPr>
              <w:rPr>
                <w:rFonts w:ascii="Times New Roman" w:hAnsi="Times New Roman" w:eastAsia="宋体" w:cs="Times New Roman"/>
                <w:color w:val="auto"/>
                <w:kern w:val="2"/>
                <w:sz w:val="44"/>
                <w:szCs w:val="28"/>
                <w:highlight w:val="none"/>
                <w:lang w:val="en-US" w:eastAsia="zh-CN" w:bidi="ar-SA"/>
              </w:rPr>
            </w:sdtEndPr>
            <w:sdtContent>
              <w:r>
                <w:rPr>
                  <w:rFonts w:hint="eastAsia" w:ascii="方正小标宋_GBK" w:hAnsi="Times New Roman" w:eastAsia="方正小标宋_GBK" w:cs="Times New Roman"/>
                  <w:color w:val="auto"/>
                  <w:sz w:val="28"/>
                  <w:szCs w:val="28"/>
                  <w:highlight w:val="none"/>
                </w:rPr>
                <w:t>第四篇  评标方法、评标标准、无效投标条款和废标条款</w:t>
              </w:r>
            </w:sdtContent>
          </w:sdt>
          <w:r>
            <w:rPr>
              <w:color w:val="auto"/>
              <w:sz w:val="28"/>
              <w:szCs w:val="28"/>
              <w:highlight w:val="none"/>
            </w:rPr>
            <w:tab/>
          </w:r>
          <w:bookmarkStart w:id="3" w:name="_Toc25868_WPSOffice_Level1Page"/>
          <w:r>
            <w:rPr>
              <w:color w:val="auto"/>
              <w:sz w:val="28"/>
              <w:szCs w:val="28"/>
              <w:highlight w:val="none"/>
            </w:rPr>
            <w:t>9</w:t>
          </w:r>
          <w:bookmarkEnd w:id="3"/>
          <w:r>
            <w:rPr>
              <w:color w:val="auto"/>
              <w:sz w:val="28"/>
              <w:szCs w:val="28"/>
              <w:highlight w:val="none"/>
            </w:rPr>
            <w:fldChar w:fldCharType="end"/>
          </w:r>
        </w:p>
        <w:p>
          <w:pPr>
            <w:pStyle w:val="127"/>
            <w:tabs>
              <w:tab w:val="right" w:leader="dot" w:pos="9412"/>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_Toc777_WPSOffice_Level1 </w:instrText>
          </w:r>
          <w:r>
            <w:rPr>
              <w:color w:val="auto"/>
              <w:sz w:val="28"/>
              <w:szCs w:val="28"/>
              <w:highlight w:val="none"/>
            </w:rPr>
            <w:fldChar w:fldCharType="separate"/>
          </w:r>
          <w:sdt>
            <w:sdtPr>
              <w:rPr>
                <w:rFonts w:ascii="Times New Roman" w:hAnsi="Times New Roman" w:eastAsia="宋体" w:cs="Times New Roman"/>
                <w:color w:val="auto"/>
                <w:kern w:val="2"/>
                <w:sz w:val="44"/>
                <w:szCs w:val="28"/>
                <w:highlight w:val="none"/>
                <w:lang w:val="en-US" w:eastAsia="zh-CN" w:bidi="ar-SA"/>
              </w:rPr>
              <w:id w:val="147473763"/>
              <w:placeholder>
                <w:docPart w:val="{d3cee3dd-6ee4-4ed9-b608-bd2ac1010fcb}"/>
              </w:placeholder>
            </w:sdtPr>
            <w:sdtEndPr>
              <w:rPr>
                <w:rFonts w:ascii="Times New Roman" w:hAnsi="Times New Roman" w:eastAsia="宋体" w:cs="Times New Roman"/>
                <w:color w:val="auto"/>
                <w:kern w:val="2"/>
                <w:sz w:val="44"/>
                <w:szCs w:val="28"/>
                <w:highlight w:val="none"/>
                <w:lang w:val="en-US" w:eastAsia="zh-CN" w:bidi="ar-SA"/>
              </w:rPr>
            </w:sdtEndPr>
            <w:sdtContent>
              <w:r>
                <w:rPr>
                  <w:rFonts w:hint="eastAsia" w:ascii="方正小标宋_GBK" w:hAnsi="Times New Roman" w:eastAsia="方正小标宋_GBK" w:cs="Times New Roman"/>
                  <w:color w:val="auto"/>
                  <w:sz w:val="28"/>
                  <w:szCs w:val="28"/>
                  <w:highlight w:val="none"/>
                </w:rPr>
                <w:t>第五篇  供应商须知</w:t>
              </w:r>
            </w:sdtContent>
          </w:sdt>
          <w:r>
            <w:rPr>
              <w:color w:val="auto"/>
              <w:sz w:val="28"/>
              <w:szCs w:val="28"/>
              <w:highlight w:val="none"/>
            </w:rPr>
            <w:tab/>
          </w:r>
          <w:bookmarkStart w:id="4" w:name="_Toc777_WPSOffice_Level1Page"/>
          <w:r>
            <w:rPr>
              <w:color w:val="auto"/>
              <w:sz w:val="28"/>
              <w:szCs w:val="28"/>
              <w:highlight w:val="none"/>
            </w:rPr>
            <w:t>15</w:t>
          </w:r>
          <w:bookmarkEnd w:id="4"/>
          <w:r>
            <w:rPr>
              <w:color w:val="auto"/>
              <w:sz w:val="28"/>
              <w:szCs w:val="28"/>
              <w:highlight w:val="none"/>
            </w:rPr>
            <w:fldChar w:fldCharType="end"/>
          </w:r>
        </w:p>
        <w:p>
          <w:pPr>
            <w:pStyle w:val="127"/>
            <w:tabs>
              <w:tab w:val="right" w:leader="dot" w:pos="9412"/>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_Toc8024_WPSOffice_Level1 </w:instrText>
          </w:r>
          <w:r>
            <w:rPr>
              <w:color w:val="auto"/>
              <w:sz w:val="28"/>
              <w:szCs w:val="28"/>
              <w:highlight w:val="none"/>
            </w:rPr>
            <w:fldChar w:fldCharType="separate"/>
          </w:r>
          <w:sdt>
            <w:sdtPr>
              <w:rPr>
                <w:rFonts w:ascii="Times New Roman" w:hAnsi="Times New Roman" w:eastAsia="宋体" w:cs="Times New Roman"/>
                <w:color w:val="auto"/>
                <w:kern w:val="2"/>
                <w:sz w:val="44"/>
                <w:szCs w:val="28"/>
                <w:highlight w:val="none"/>
                <w:lang w:val="en-US" w:eastAsia="zh-CN" w:bidi="ar-SA"/>
              </w:rPr>
              <w:id w:val="147473763"/>
              <w:placeholder>
                <w:docPart w:val="{2a324aa7-44bb-442c-8e35-13d702d2afa1}"/>
              </w:placeholder>
            </w:sdtPr>
            <w:sdtEndPr>
              <w:rPr>
                <w:rFonts w:ascii="Times New Roman" w:hAnsi="Times New Roman" w:eastAsia="宋体" w:cs="Times New Roman"/>
                <w:color w:val="auto"/>
                <w:kern w:val="2"/>
                <w:sz w:val="44"/>
                <w:szCs w:val="28"/>
                <w:highlight w:val="none"/>
                <w:lang w:val="en-US" w:eastAsia="zh-CN" w:bidi="ar-SA"/>
              </w:rPr>
            </w:sdtEndPr>
            <w:sdtContent>
              <w:r>
                <w:rPr>
                  <w:rFonts w:hint="eastAsia" w:ascii="方正小标宋_GBK" w:hAnsi="Times New Roman" w:eastAsia="方正小标宋_GBK" w:cs="Times New Roman"/>
                  <w:color w:val="auto"/>
                  <w:sz w:val="28"/>
                  <w:szCs w:val="28"/>
                  <w:highlight w:val="none"/>
                </w:rPr>
                <w:t>第六篇  合同主要条款和格式合同（样本）</w:t>
              </w:r>
            </w:sdtContent>
          </w:sdt>
          <w:r>
            <w:rPr>
              <w:color w:val="auto"/>
              <w:sz w:val="28"/>
              <w:szCs w:val="28"/>
              <w:highlight w:val="none"/>
            </w:rPr>
            <w:tab/>
          </w:r>
          <w:bookmarkStart w:id="5" w:name="_Toc8024_WPSOffice_Level1Page"/>
          <w:r>
            <w:rPr>
              <w:color w:val="auto"/>
              <w:sz w:val="28"/>
              <w:szCs w:val="28"/>
              <w:highlight w:val="none"/>
            </w:rPr>
            <w:t>21</w:t>
          </w:r>
          <w:bookmarkEnd w:id="5"/>
          <w:r>
            <w:rPr>
              <w:color w:val="auto"/>
              <w:sz w:val="28"/>
              <w:szCs w:val="28"/>
              <w:highlight w:val="none"/>
            </w:rPr>
            <w:fldChar w:fldCharType="end"/>
          </w:r>
        </w:p>
        <w:p>
          <w:pPr>
            <w:pStyle w:val="127"/>
            <w:tabs>
              <w:tab w:val="right" w:leader="dot" w:pos="9412"/>
            </w:tabs>
            <w:spacing w:line="360" w:lineRule="auto"/>
            <w:rPr>
              <w:color w:val="auto"/>
              <w:sz w:val="28"/>
              <w:szCs w:val="28"/>
              <w:highlight w:val="none"/>
            </w:rPr>
          </w:pPr>
          <w:r>
            <w:rPr>
              <w:color w:val="auto"/>
              <w:sz w:val="28"/>
              <w:szCs w:val="28"/>
              <w:highlight w:val="none"/>
            </w:rPr>
            <w:fldChar w:fldCharType="begin"/>
          </w:r>
          <w:r>
            <w:rPr>
              <w:color w:val="auto"/>
              <w:sz w:val="28"/>
              <w:szCs w:val="28"/>
              <w:highlight w:val="none"/>
            </w:rPr>
            <w:instrText xml:space="preserve"> HYPERLINK \l _Toc4613_WPSOffice_Level1 </w:instrText>
          </w:r>
          <w:r>
            <w:rPr>
              <w:color w:val="auto"/>
              <w:sz w:val="28"/>
              <w:szCs w:val="28"/>
              <w:highlight w:val="none"/>
            </w:rPr>
            <w:fldChar w:fldCharType="separate"/>
          </w:r>
          <w:sdt>
            <w:sdtPr>
              <w:rPr>
                <w:rFonts w:ascii="Times New Roman" w:hAnsi="Times New Roman" w:eastAsia="宋体" w:cs="Times New Roman"/>
                <w:color w:val="auto"/>
                <w:kern w:val="2"/>
                <w:sz w:val="44"/>
                <w:szCs w:val="28"/>
                <w:highlight w:val="none"/>
                <w:lang w:val="en-US" w:eastAsia="zh-CN" w:bidi="ar-SA"/>
              </w:rPr>
              <w:id w:val="147473763"/>
              <w:placeholder>
                <w:docPart w:val="{bd25b9f4-7f18-4a90-9b3c-b93f7e6822a5}"/>
              </w:placeholder>
            </w:sdtPr>
            <w:sdtEndPr>
              <w:rPr>
                <w:rFonts w:ascii="Times New Roman" w:hAnsi="Times New Roman" w:eastAsia="宋体" w:cs="Times New Roman"/>
                <w:color w:val="auto"/>
                <w:kern w:val="2"/>
                <w:sz w:val="44"/>
                <w:szCs w:val="28"/>
                <w:highlight w:val="none"/>
                <w:lang w:val="en-US" w:eastAsia="zh-CN" w:bidi="ar-SA"/>
              </w:rPr>
            </w:sdtEndPr>
            <w:sdtContent>
              <w:r>
                <w:rPr>
                  <w:rFonts w:hint="eastAsia" w:ascii="方正小标宋_GBK" w:hAnsi="Times New Roman" w:eastAsia="方正小标宋_GBK" w:cs="Times New Roman"/>
                  <w:color w:val="auto"/>
                  <w:sz w:val="28"/>
                  <w:szCs w:val="28"/>
                  <w:highlight w:val="none"/>
                </w:rPr>
                <w:t>第七篇  响应文件格式</w:t>
              </w:r>
            </w:sdtContent>
          </w:sdt>
          <w:r>
            <w:rPr>
              <w:color w:val="auto"/>
              <w:sz w:val="28"/>
              <w:szCs w:val="28"/>
              <w:highlight w:val="none"/>
            </w:rPr>
            <w:tab/>
          </w:r>
          <w:bookmarkStart w:id="6" w:name="_Toc4613_WPSOffice_Level1Page"/>
          <w:r>
            <w:rPr>
              <w:color w:val="auto"/>
              <w:sz w:val="28"/>
              <w:szCs w:val="28"/>
              <w:highlight w:val="none"/>
            </w:rPr>
            <w:t>42</w:t>
          </w:r>
          <w:bookmarkEnd w:id="6"/>
          <w:r>
            <w:rPr>
              <w:color w:val="auto"/>
              <w:sz w:val="28"/>
              <w:szCs w:val="28"/>
              <w:highlight w:val="none"/>
            </w:rPr>
            <w:fldChar w:fldCharType="end"/>
          </w:r>
        </w:p>
        <w:bookmarkEnd w:id="0"/>
        <w:p>
          <w:pPr>
            <w:pStyle w:val="127"/>
            <w:tabs>
              <w:tab w:val="right" w:leader="dot" w:pos="9412"/>
            </w:tabs>
            <w:rPr>
              <w:color w:val="auto"/>
              <w:highlight w:val="none"/>
            </w:rPr>
          </w:pPr>
          <w:bookmarkStart w:id="7" w:name="_Toc22480"/>
          <w:bookmarkStart w:id="8" w:name="_Toc29480"/>
          <w:bookmarkStart w:id="9" w:name="_Toc8640_WPSOffice_Level1"/>
          <w:bookmarkStart w:id="10" w:name="_Toc452024143"/>
        </w:p>
      </w:sdtContent>
    </w:sdt>
    <w:p>
      <w:pPr>
        <w:pStyle w:val="3"/>
        <w:numPr>
          <w:ilvl w:val="0"/>
          <w:numId w:val="1"/>
        </w:numPr>
        <w:spacing w:beforeLines="0" w:afterLines="0" w:line="360" w:lineRule="auto"/>
        <w:ind w:left="1531" w:hanging="1531"/>
        <w:rPr>
          <w:rFonts w:ascii="方正小标宋_GBK" w:eastAsia="方正小标宋_GBK"/>
          <w:color w:val="auto"/>
          <w:highlight w:val="none"/>
        </w:rPr>
      </w:pPr>
      <w:r>
        <w:rPr>
          <w:rFonts w:hint="eastAsia" w:ascii="方正小标宋_GBK" w:eastAsia="方正小标宋_GBK"/>
          <w:color w:val="auto"/>
          <w:highlight w:val="none"/>
        </w:rPr>
        <w:br w:type="column"/>
      </w:r>
      <w:r>
        <w:rPr>
          <w:rFonts w:hint="eastAsia" w:ascii="方正小标宋_GBK" w:eastAsia="方正小标宋_GBK"/>
          <w:color w:val="auto"/>
          <w:highlight w:val="none"/>
        </w:rPr>
        <w:t>投标邀请书</w:t>
      </w:r>
      <w:bookmarkEnd w:id="7"/>
      <w:bookmarkEnd w:id="8"/>
      <w:bookmarkEnd w:id="9"/>
      <w:bookmarkEnd w:id="10"/>
    </w:p>
    <w:p>
      <w:pPr>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重庆泓展建设工程咨询有限公司受四川外国语大学招投标采购办公室的委托，对</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eastAsia="zh-CN"/>
        </w:rPr>
        <w:t>四川外国语大学游泳池监理单位服务采购（第二次）</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rPr>
        <w:t>进行竞争性磋商，欢迎有资格的供应商参加投标。</w:t>
      </w:r>
    </w:p>
    <w:p>
      <w:pPr>
        <w:pStyle w:val="4"/>
        <w:spacing w:line="500" w:lineRule="exact"/>
        <w:ind w:firstLine="480" w:firstLineChars="200"/>
        <w:rPr>
          <w:rFonts w:ascii="方正仿宋_GBK" w:eastAsia="方正仿宋_GBK"/>
          <w:b/>
          <w:color w:val="auto"/>
          <w:sz w:val="24"/>
          <w:highlight w:val="none"/>
        </w:rPr>
      </w:pPr>
      <w:bookmarkStart w:id="11" w:name="_Toc452024144"/>
      <w:r>
        <w:rPr>
          <w:rFonts w:hint="eastAsia" w:ascii="方正仿宋_GBK" w:eastAsia="方正仿宋_GBK"/>
          <w:b/>
          <w:color w:val="auto"/>
          <w:sz w:val="24"/>
          <w:highlight w:val="none"/>
        </w:rPr>
        <w:t>一、磋商项目内容</w:t>
      </w:r>
      <w:bookmarkEnd w:id="11"/>
    </w:p>
    <w:tbl>
      <w:tblPr>
        <w:tblStyle w:val="65"/>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90"/>
        <w:gridCol w:w="1803"/>
        <w:gridCol w:w="1381"/>
        <w:gridCol w:w="1274"/>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0"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390"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项目名称</w:t>
            </w:r>
          </w:p>
        </w:tc>
        <w:tc>
          <w:tcPr>
            <w:tcW w:w="1803"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监理服务费最高限价（万元）</w:t>
            </w:r>
          </w:p>
        </w:tc>
        <w:tc>
          <w:tcPr>
            <w:tcW w:w="1381"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投标保证金</w:t>
            </w:r>
          </w:p>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（万元）</w:t>
            </w:r>
          </w:p>
        </w:tc>
        <w:tc>
          <w:tcPr>
            <w:tcW w:w="1274"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成交供应商</w:t>
            </w:r>
          </w:p>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数量（名）</w:t>
            </w:r>
          </w:p>
        </w:tc>
        <w:tc>
          <w:tcPr>
            <w:tcW w:w="946"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90" w:type="dxa"/>
            <w:vAlign w:val="center"/>
          </w:tcPr>
          <w:p>
            <w:pPr>
              <w:pStyle w:val="18"/>
              <w:spacing w:line="240" w:lineRule="atLeast"/>
              <w:ind w:firstLine="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2390" w:type="dxa"/>
            <w:vAlign w:val="center"/>
          </w:tcPr>
          <w:p>
            <w:pPr>
              <w:jc w:val="center"/>
              <w:rPr>
                <w:rFonts w:ascii="方正仿宋_GBK" w:hAnsi="宋体" w:eastAsia="方正仿宋_GBK"/>
                <w:color w:val="auto"/>
                <w:sz w:val="21"/>
                <w:szCs w:val="21"/>
                <w:highlight w:val="none"/>
              </w:rPr>
            </w:pPr>
            <w:r>
              <w:rPr>
                <w:rFonts w:hint="eastAsia" w:ascii="方正仿宋_GBK" w:hAnsi="宋体" w:eastAsia="方正仿宋_GBK" w:cs="Times New Roman"/>
                <w:b/>
                <w:color w:val="auto"/>
                <w:kern w:val="2"/>
                <w:sz w:val="21"/>
                <w:szCs w:val="21"/>
                <w:highlight w:val="none"/>
                <w:lang w:val="en-US" w:eastAsia="zh-CN" w:bidi="ar-SA"/>
              </w:rPr>
              <w:t>四川外国语大学游泳池监理单位服务采购（第二次）</w:t>
            </w:r>
          </w:p>
        </w:tc>
        <w:tc>
          <w:tcPr>
            <w:tcW w:w="1803" w:type="dxa"/>
            <w:vAlign w:val="center"/>
          </w:tcPr>
          <w:p>
            <w:pPr>
              <w:pStyle w:val="25"/>
              <w:spacing w:line="240" w:lineRule="atLeast"/>
              <w:ind w:left="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35</w:t>
            </w:r>
          </w:p>
        </w:tc>
        <w:tc>
          <w:tcPr>
            <w:tcW w:w="1381" w:type="dxa"/>
            <w:vAlign w:val="center"/>
          </w:tcPr>
          <w:p>
            <w:pPr>
              <w:pStyle w:val="25"/>
              <w:spacing w:line="240" w:lineRule="atLeast"/>
              <w:ind w:left="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0.35</w:t>
            </w:r>
          </w:p>
        </w:tc>
        <w:tc>
          <w:tcPr>
            <w:tcW w:w="1274" w:type="dxa"/>
            <w:vAlign w:val="center"/>
          </w:tcPr>
          <w:p>
            <w:pPr>
              <w:pStyle w:val="18"/>
              <w:spacing w:line="400" w:lineRule="exact"/>
              <w:ind w:firstLine="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946" w:type="dxa"/>
          </w:tcPr>
          <w:p>
            <w:pPr>
              <w:pStyle w:val="18"/>
              <w:spacing w:line="400" w:lineRule="exact"/>
              <w:ind w:firstLine="0"/>
              <w:outlineLvl w:val="0"/>
              <w:rPr>
                <w:rFonts w:ascii="方正仿宋_GBK" w:hAnsi="宋体" w:eastAsia="方正仿宋_GBK"/>
                <w:color w:val="auto"/>
                <w:sz w:val="21"/>
                <w:szCs w:val="21"/>
                <w:highlight w:val="none"/>
              </w:rPr>
            </w:pPr>
          </w:p>
        </w:tc>
      </w:tr>
    </w:tbl>
    <w:p>
      <w:pPr>
        <w:pStyle w:val="4"/>
        <w:spacing w:line="500" w:lineRule="exact"/>
        <w:ind w:firstLine="480" w:firstLineChars="200"/>
        <w:rPr>
          <w:rFonts w:ascii="方正仿宋_GBK" w:eastAsia="方正仿宋_GBK"/>
          <w:b/>
          <w:color w:val="auto"/>
          <w:sz w:val="24"/>
          <w:highlight w:val="none"/>
        </w:rPr>
      </w:pPr>
      <w:bookmarkStart w:id="12" w:name="_Toc452024145"/>
      <w:r>
        <w:rPr>
          <w:rFonts w:hint="eastAsia" w:ascii="方正仿宋_GBK" w:eastAsia="方正仿宋_GBK"/>
          <w:b/>
          <w:color w:val="auto"/>
          <w:sz w:val="24"/>
          <w:highlight w:val="none"/>
        </w:rPr>
        <w:t>二、资金来源</w:t>
      </w:r>
      <w:bookmarkEnd w:id="12"/>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本项目的资金来自于公用设施改造修缮费。</w:t>
      </w:r>
    </w:p>
    <w:p>
      <w:pPr>
        <w:pStyle w:val="4"/>
        <w:spacing w:line="500" w:lineRule="exact"/>
        <w:ind w:firstLine="480" w:firstLineChars="200"/>
        <w:rPr>
          <w:rFonts w:ascii="方正仿宋_GBK" w:eastAsia="方正仿宋_GBK"/>
          <w:b/>
          <w:color w:val="auto"/>
          <w:sz w:val="24"/>
          <w:highlight w:val="none"/>
        </w:rPr>
      </w:pPr>
      <w:bookmarkStart w:id="13" w:name="_Toc452024146"/>
      <w:r>
        <w:rPr>
          <w:rFonts w:hint="eastAsia" w:ascii="方正仿宋_GBK" w:eastAsia="方正仿宋_GBK"/>
          <w:b/>
          <w:color w:val="auto"/>
          <w:sz w:val="24"/>
          <w:highlight w:val="none"/>
        </w:rPr>
        <w:t>三、供应商的资格要求</w:t>
      </w:r>
      <w:bookmarkEnd w:id="13"/>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加本次磋商的供应商是指向采购人提供货物、工程或者服务的法人、其他组织或者自然人。以下简称供应商。合格供应商应首先符合政府采购法第二十二条规定的基本条件，同时符合根据该项目特点设置的特定资格条件。</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（一）基本资格条件</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6、法律、行政法规规定的其他条件。</w:t>
      </w:r>
    </w:p>
    <w:p>
      <w:pPr>
        <w:spacing w:line="400" w:lineRule="exact"/>
        <w:ind w:firstLine="480"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注：一般资格条件须提供的证明材料详见本竞争性磋商文件第七章。</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（二）特定资格条件</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1、供应商须具备</w:t>
      </w:r>
      <w:r>
        <w:rPr>
          <w:rFonts w:hint="eastAsia" w:ascii="方正仿宋_GBK" w:hAnsi="宋体" w:eastAsia="方正仿宋_GBK"/>
          <w:color w:val="auto"/>
          <w:sz w:val="24"/>
          <w:szCs w:val="24"/>
          <w:highlight w:val="none"/>
          <w:u w:val="single"/>
        </w:rPr>
        <w:t>工程监理综合资质</w:t>
      </w:r>
      <w:r>
        <w:rPr>
          <w:rFonts w:hint="eastAsia" w:ascii="方正仿宋_GBK" w:hAnsi="宋体" w:eastAsia="方正仿宋_GBK"/>
          <w:color w:val="auto"/>
          <w:sz w:val="24"/>
          <w:szCs w:val="24"/>
          <w:highlight w:val="none"/>
          <w:u w:val="single"/>
          <w:lang w:eastAsia="zh-CN"/>
        </w:rPr>
        <w:t>或</w:t>
      </w:r>
      <w:r>
        <w:rPr>
          <w:rFonts w:hint="eastAsia" w:ascii="方正仿宋_GBK" w:hAnsi="宋体" w:eastAsia="方正仿宋_GBK"/>
          <w:color w:val="auto"/>
          <w:sz w:val="24"/>
          <w:szCs w:val="24"/>
          <w:highlight w:val="none"/>
          <w:u w:val="single"/>
        </w:rPr>
        <w:t>房屋建筑工程专业丙级及以上监理资质</w:t>
      </w:r>
      <w:r>
        <w:rPr>
          <w:rFonts w:hint="eastAsia" w:ascii="方正仿宋_GBK" w:hAnsi="宋体" w:eastAsia="方正仿宋_GBK"/>
          <w:color w:val="auto"/>
          <w:sz w:val="24"/>
          <w:szCs w:val="24"/>
          <w:highlight w:val="none"/>
        </w:rPr>
        <w:t>。</w:t>
      </w:r>
      <w:r>
        <w:rPr>
          <w:rFonts w:hint="eastAsia" w:ascii="方正仿宋_GBK" w:hAnsi="宋体" w:eastAsia="方正仿宋_GBK"/>
          <w:b/>
          <w:bCs/>
          <w:color w:val="auto"/>
          <w:sz w:val="24"/>
          <w:szCs w:val="24"/>
          <w:highlight w:val="none"/>
        </w:rPr>
        <w:t>（供应商须提供有效的资质证书副本复印件并加盖供应商单位公章）</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为重庆市市外监理企业的，根据重庆市市外监理企业按照渝建发【2016】36号文规定，2016年5月1日起，重庆市外监理企业在投标前必须纳入市城乡建委“市外工程监理企业入渝信息库”。市外监理企业的原分支机构入渝登记备案证在有效期内的，提供重庆市市外工程监理企业入渝登记备案证及在渝分支机构登记备案的人员名单复印件加盖供应商单位公章（拟派本项目人员须是已备案人员）；市外监理企业的原分支机构入渝登记备案证失效的或新入渝的市外监理企业提供本单位以及项目所配备的监理从业人员已纳入重庆市城乡建委“市外工程监理企业入渝信息库”且在入渝信息有效期内的截图（在住房和城乡建设部“全国建筑市场监管与诚信信息发布平台”上查询的）文件并加盖供应商单位公章。</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特别说明：不具有法人身份的分公司不能参加本次采购活动。</w:t>
      </w:r>
    </w:p>
    <w:p>
      <w:pPr>
        <w:pStyle w:val="4"/>
        <w:numPr>
          <w:ilvl w:val="0"/>
          <w:numId w:val="2"/>
        </w:numPr>
        <w:spacing w:line="500" w:lineRule="exact"/>
        <w:ind w:firstLine="480" w:firstLineChars="200"/>
        <w:rPr>
          <w:rFonts w:ascii="方正仿宋_GBK" w:eastAsia="方正仿宋_GBK"/>
          <w:b/>
          <w:color w:val="auto"/>
          <w:sz w:val="24"/>
          <w:highlight w:val="none"/>
        </w:rPr>
      </w:pPr>
      <w:bookmarkStart w:id="14" w:name="_Toc452024147"/>
      <w:r>
        <w:rPr>
          <w:rFonts w:hint="eastAsia" w:ascii="方正仿宋_GBK" w:eastAsia="方正仿宋_GBK"/>
          <w:b/>
          <w:color w:val="auto"/>
          <w:sz w:val="24"/>
          <w:highlight w:val="none"/>
        </w:rPr>
        <w:t>磋商有关说明</w:t>
      </w:r>
      <w:bookmarkEnd w:id="14"/>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（一）凡有意参加磋商者，请于</w:t>
      </w:r>
      <w:bookmarkStart w:id="128" w:name="_GoBack"/>
      <w:r>
        <w:rPr>
          <w:rFonts w:hint="eastAsia" w:ascii="方正仿宋_GBK" w:hAnsi="宋体" w:eastAsia="方正仿宋_GBK"/>
          <w:color w:val="auto"/>
          <w:sz w:val="24"/>
          <w:szCs w:val="24"/>
          <w:highlight w:val="none"/>
        </w:rPr>
        <w:t>2018年</w:t>
      </w:r>
      <w:bookmarkEnd w:id="128"/>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11</w:t>
      </w:r>
      <w:r>
        <w:rPr>
          <w:rFonts w:hint="eastAsia" w:ascii="方正仿宋_GBK" w:hAnsi="宋体" w:eastAsia="方正仿宋_GBK"/>
          <w:color w:val="auto"/>
          <w:sz w:val="24"/>
          <w:szCs w:val="24"/>
          <w:highlight w:val="none"/>
        </w:rPr>
        <w:t>日起，在“四川外国语大学（www.sisu.edu.cn）网”下载本工程的竞争性磋商文件、答疑、补遗等所有磋商相关资料。不论供应商下载与否，都视为供应商收到以上资料并全部知晓有关磋商过程和事宜，由此产生的一切后果由供应商自负。</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（二）竞争性磋商文件售价为：500元/套，在递交响应文件时一次性缴纳给采购代理机构，售后不退。</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（三）供应商须满足以下三个要件，其响应文件才被接受：</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3、缴纳了竞争性磋商文件购买费。</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（四）磋商地点：四川外国语大学招投标会议室(资产楼三楼)。</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（五）递交响应文件时间：</w:t>
      </w:r>
      <w:r>
        <w:rPr>
          <w:rFonts w:hint="eastAsia" w:ascii="方正仿宋_GBK" w:hAnsi="宋体" w:eastAsia="方正仿宋_GBK"/>
          <w:color w:val="auto"/>
          <w:sz w:val="24"/>
          <w:szCs w:val="24"/>
          <w:highlight w:val="none"/>
          <w:u w:val="single"/>
          <w:lang w:val="en-US" w:eastAsia="zh-CN"/>
        </w:rPr>
        <w:t>2018</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18</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u w:val="single"/>
          <w:lang w:val="en-US" w:eastAsia="zh-CN"/>
        </w:rPr>
        <w:t>14</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00</w:t>
      </w:r>
      <w:r>
        <w:rPr>
          <w:rFonts w:hint="eastAsia" w:ascii="方正仿宋_GBK" w:hAnsi="宋体" w:eastAsia="方正仿宋_GBK"/>
          <w:color w:val="auto"/>
          <w:sz w:val="24"/>
          <w:szCs w:val="24"/>
          <w:highlight w:val="none"/>
        </w:rPr>
        <w:t>分（北京时间，下同）至</w:t>
      </w:r>
      <w:r>
        <w:rPr>
          <w:rFonts w:hint="eastAsia" w:ascii="方正仿宋_GBK" w:hAnsi="宋体" w:eastAsia="方正仿宋_GBK"/>
          <w:color w:val="auto"/>
          <w:sz w:val="24"/>
          <w:szCs w:val="24"/>
          <w:highlight w:val="none"/>
          <w:u w:val="single"/>
          <w:lang w:val="en-US" w:eastAsia="zh-CN"/>
        </w:rPr>
        <w:t>14</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30</w:t>
      </w:r>
      <w:r>
        <w:rPr>
          <w:rFonts w:hint="eastAsia" w:ascii="方正仿宋_GBK" w:hAnsi="宋体" w:eastAsia="方正仿宋_GBK"/>
          <w:color w:val="auto"/>
          <w:sz w:val="24"/>
          <w:szCs w:val="24"/>
          <w:highlight w:val="none"/>
        </w:rPr>
        <w:t>分，递交响应文件截止时间：</w:t>
      </w:r>
      <w:r>
        <w:rPr>
          <w:rFonts w:hint="eastAsia" w:ascii="方正仿宋_GBK" w:hAnsi="宋体" w:eastAsia="方正仿宋_GBK"/>
          <w:color w:val="auto"/>
          <w:sz w:val="24"/>
          <w:szCs w:val="24"/>
          <w:highlight w:val="none"/>
          <w:u w:val="single"/>
          <w:lang w:val="en-US" w:eastAsia="zh-CN"/>
        </w:rPr>
        <w:t>2018</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18</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u w:val="single"/>
          <w:lang w:val="en-US" w:eastAsia="zh-CN"/>
        </w:rPr>
        <w:t>14</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30</w:t>
      </w:r>
      <w:r>
        <w:rPr>
          <w:rFonts w:hint="eastAsia" w:ascii="方正仿宋_GBK" w:hAnsi="宋体" w:eastAsia="方正仿宋_GBK"/>
          <w:color w:val="auto"/>
          <w:sz w:val="24"/>
          <w:szCs w:val="24"/>
          <w:highlight w:val="none"/>
        </w:rPr>
        <w:t>分。</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（六）磋商采购开始时间： </w:t>
      </w:r>
      <w:r>
        <w:rPr>
          <w:rFonts w:hint="eastAsia" w:ascii="方正仿宋_GBK" w:hAnsi="宋体" w:eastAsia="方正仿宋_GBK"/>
          <w:color w:val="auto"/>
          <w:sz w:val="24"/>
          <w:szCs w:val="24"/>
          <w:highlight w:val="none"/>
          <w:u w:val="single"/>
          <w:lang w:val="en-US" w:eastAsia="zh-CN"/>
        </w:rPr>
        <w:t>2018</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18</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u w:val="single"/>
          <w:lang w:val="en-US" w:eastAsia="zh-CN"/>
        </w:rPr>
        <w:t>14</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30</w:t>
      </w:r>
      <w:r>
        <w:rPr>
          <w:rFonts w:hint="eastAsia" w:ascii="方正仿宋_GBK" w:hAnsi="宋体" w:eastAsia="方正仿宋_GBK"/>
          <w:color w:val="auto"/>
          <w:sz w:val="24"/>
          <w:szCs w:val="24"/>
          <w:highlight w:val="none"/>
        </w:rPr>
        <w:t>分。</w:t>
      </w:r>
    </w:p>
    <w:p>
      <w:pPr>
        <w:spacing w:line="400" w:lineRule="exact"/>
        <w:ind w:firstLine="480" w:firstLineChars="200"/>
        <w:rPr>
          <w:color w:val="auto"/>
          <w:highlight w:val="none"/>
        </w:rPr>
      </w:pPr>
      <w:r>
        <w:rPr>
          <w:rFonts w:hint="eastAsia" w:ascii="方正仿宋_GBK" w:hAnsi="宋体" w:eastAsia="方正仿宋_GBK"/>
          <w:color w:val="auto"/>
          <w:sz w:val="24"/>
          <w:szCs w:val="24"/>
          <w:highlight w:val="none"/>
        </w:rPr>
        <w:t>（七）磋商采购地点：同磋商地点。</w:t>
      </w:r>
    </w:p>
    <w:p>
      <w:pPr>
        <w:pStyle w:val="4"/>
        <w:spacing w:line="500" w:lineRule="exact"/>
        <w:ind w:firstLine="480" w:firstLineChars="200"/>
        <w:rPr>
          <w:rFonts w:ascii="方正仿宋_GBK" w:eastAsia="方正仿宋_GBK"/>
          <w:b/>
          <w:color w:val="auto"/>
          <w:sz w:val="24"/>
          <w:highlight w:val="none"/>
        </w:rPr>
      </w:pPr>
      <w:bookmarkStart w:id="15" w:name="_Toc452024148"/>
      <w:r>
        <w:rPr>
          <w:rFonts w:hint="eastAsia" w:ascii="方正仿宋_GBK" w:eastAsia="方正仿宋_GBK"/>
          <w:b/>
          <w:color w:val="auto"/>
          <w:sz w:val="24"/>
          <w:highlight w:val="none"/>
        </w:rPr>
        <w:t>五、保证金</w:t>
      </w:r>
      <w:bookmarkEnd w:id="15"/>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（一）投标保证金递交</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1、</w:t>
      </w:r>
      <w:r>
        <w:rPr>
          <w:rFonts w:hint="eastAsia" w:ascii="方正仿宋_GBK" w:hAnsi="宋体" w:eastAsia="方正仿宋_GBK"/>
          <w:color w:val="auto"/>
          <w:sz w:val="24"/>
          <w:szCs w:val="24"/>
          <w:highlight w:val="none"/>
        </w:rPr>
        <w:t>投标保证金的缴纳方式：供应商须按本项目规定的投标保证金金额进行缴纳（投标保证金金额详见本篇中“一、磋商项目内容”），由供应商从其基本账户将投标保证金汇至以下账户，投标保证金的到账截止时间为</w:t>
      </w:r>
      <w:r>
        <w:rPr>
          <w:rFonts w:hint="eastAsia" w:ascii="方正仿宋_GBK" w:hAnsi="宋体" w:eastAsia="方正仿宋_GBK"/>
          <w:color w:val="auto"/>
          <w:sz w:val="24"/>
          <w:szCs w:val="24"/>
          <w:highlight w:val="none"/>
          <w:lang w:val="en-US" w:eastAsia="zh-CN"/>
        </w:rPr>
        <w:t>本次（第二次）磋商公告发布之日起至</w:t>
      </w:r>
      <w:r>
        <w:rPr>
          <w:rFonts w:hint="eastAsia" w:ascii="方正仿宋_GBK" w:hAnsi="宋体" w:eastAsia="方正仿宋_GBK"/>
          <w:color w:val="auto"/>
          <w:sz w:val="24"/>
          <w:szCs w:val="24"/>
          <w:highlight w:val="none"/>
        </w:rPr>
        <w:t>递交响应文件截止时间前一天9:00</w:t>
      </w:r>
      <w:r>
        <w:rPr>
          <w:rFonts w:hint="eastAsia" w:ascii="方正仿宋_GBK" w:hAnsi="宋体" w:eastAsia="方正仿宋_GBK"/>
          <w:color w:val="auto"/>
          <w:sz w:val="24"/>
          <w:szCs w:val="24"/>
          <w:highlight w:val="none"/>
          <w:lang w:eastAsia="zh-CN"/>
        </w:rPr>
        <w:t>止</w:t>
      </w:r>
      <w:r>
        <w:rPr>
          <w:rFonts w:hint="eastAsia" w:ascii="方正仿宋_GBK" w:hAnsi="宋体" w:eastAsia="方正仿宋_GBK"/>
          <w:color w:val="auto"/>
          <w:sz w:val="24"/>
          <w:szCs w:val="24"/>
          <w:highlight w:val="none"/>
        </w:rPr>
        <w:t>。供应商必须在付款凭证备注栏中注明是“</w:t>
      </w:r>
      <w:r>
        <w:rPr>
          <w:rFonts w:hint="eastAsia" w:ascii="方正仿宋_GBK" w:hAnsi="宋体" w:eastAsia="方正仿宋_GBK"/>
          <w:color w:val="auto"/>
          <w:sz w:val="24"/>
          <w:szCs w:val="24"/>
          <w:highlight w:val="none"/>
          <w:u w:val="single"/>
          <w:lang w:eastAsia="zh-CN"/>
        </w:rPr>
        <w:t>四川外国语大学游泳池监理单位服务采购（第二次）</w:t>
      </w:r>
      <w:r>
        <w:rPr>
          <w:rFonts w:hint="eastAsia" w:ascii="方正仿宋_GBK" w:hAnsi="宋体" w:eastAsia="方正仿宋_GBK"/>
          <w:color w:val="auto"/>
          <w:sz w:val="24"/>
          <w:szCs w:val="24"/>
          <w:highlight w:val="none"/>
          <w:u w:val="single"/>
        </w:rPr>
        <w:t>投标保证金</w:t>
      </w:r>
      <w:r>
        <w:rPr>
          <w:rFonts w:hint="eastAsia" w:ascii="方正仿宋_GBK" w:hAnsi="宋体" w:eastAsia="方正仿宋_GBK"/>
          <w:color w:val="auto"/>
          <w:sz w:val="24"/>
          <w:szCs w:val="24"/>
          <w:highlight w:val="none"/>
        </w:rPr>
        <w:t>”（可简写）。</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val="en-US" w:eastAsia="zh-CN"/>
        </w:rPr>
        <w:t>2、</w:t>
      </w:r>
      <w:r>
        <w:rPr>
          <w:rFonts w:hint="eastAsia" w:ascii="方正仿宋_GBK" w:hAnsi="宋体" w:eastAsia="方正仿宋_GBK"/>
          <w:color w:val="auto"/>
          <w:sz w:val="24"/>
          <w:szCs w:val="24"/>
          <w:highlight w:val="none"/>
        </w:rPr>
        <w:t>投标保证金账户：</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户名：四川外国语大学</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开户行：工行重庆分行童家桥支行</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帐号：3100024609026402214</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行号：102653001161</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组织机构代码：45040170-9</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纳税人识别号：125000004504017097</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1）各供应商在银行转账（电汇）时，须充分考虑银行转账（电汇）的时间差风险，如同城转账、异地转账或汇款、跨行转账或电汇的时间要求。</w:t>
      </w:r>
    </w:p>
    <w:p>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2）各供应商在递交投标保证金时，到款账户为上述指定的投标保证金专用账户，来款账户必须为供应商的基本账户。</w:t>
      </w:r>
    </w:p>
    <w:p>
      <w:pPr>
        <w:spacing w:line="400" w:lineRule="exact"/>
        <w:ind w:firstLine="480" w:firstLineChars="200"/>
        <w:rPr>
          <w:rFonts w:hint="eastAsia" w:ascii="方正仿宋_GBK" w:hAnsi="宋体" w:eastAsia="方正仿宋_GBK"/>
          <w:b/>
          <w:bCs/>
          <w:color w:val="auto"/>
          <w:sz w:val="24"/>
          <w:szCs w:val="24"/>
          <w:highlight w:val="none"/>
          <w:lang w:val="en-US" w:eastAsia="zh-CN"/>
        </w:rPr>
      </w:pPr>
      <w:r>
        <w:rPr>
          <w:rFonts w:hint="eastAsia" w:ascii="方正仿宋_GBK" w:hAnsi="宋体" w:eastAsia="方正仿宋_GBK"/>
          <w:b/>
          <w:bCs/>
          <w:color w:val="auto"/>
          <w:sz w:val="24"/>
          <w:szCs w:val="24"/>
          <w:highlight w:val="none"/>
          <w:lang w:val="en-US" w:eastAsia="zh-CN"/>
        </w:rPr>
        <w:t>注：未按上述要求递交投标保证金的应当场退还其响应文件。</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投标保证金退还方式</w:t>
      </w:r>
      <w:bookmarkStart w:id="16" w:name="_Toc287534098"/>
      <w:bookmarkEnd w:id="16"/>
      <w:bookmarkStart w:id="17" w:name="_Toc333870120"/>
      <w:bookmarkEnd w:id="17"/>
      <w:r>
        <w:rPr>
          <w:rFonts w:hint="eastAsia" w:ascii="方正仿宋_GBK" w:hAnsi="宋体" w:eastAsia="方正仿宋_GBK"/>
          <w:color w:val="auto"/>
          <w:sz w:val="24"/>
          <w:szCs w:val="24"/>
          <w:highlight w:val="none"/>
        </w:rPr>
        <w:t>：</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（1）未成交的供应商的投标保证金，在成交通知书发放后，由采购人在五个工作日内，按来款渠道直接无息退还。</w:t>
      </w:r>
    </w:p>
    <w:p>
      <w:pPr>
        <w:spacing w:line="400" w:lineRule="exact"/>
        <w:ind w:firstLine="480" w:firstLineChars="200"/>
        <w:rPr>
          <w:color w:val="auto"/>
          <w:sz w:val="24"/>
          <w:szCs w:val="24"/>
          <w:highlight w:val="none"/>
        </w:rPr>
      </w:pPr>
      <w:r>
        <w:rPr>
          <w:rFonts w:hint="eastAsia" w:ascii="方正仿宋_GBK" w:hAnsi="宋体" w:eastAsia="方正仿宋_GBK"/>
          <w:color w:val="auto"/>
          <w:sz w:val="24"/>
          <w:szCs w:val="24"/>
          <w:highlight w:val="none"/>
        </w:rPr>
        <w:t>（2）成交供应商的投标保证金，在成交供应商与采购人签订合同后，由采购人在五个工作日内，按资金来款渠道直接无息退还。</w:t>
      </w:r>
    </w:p>
    <w:p>
      <w:pPr>
        <w:pStyle w:val="4"/>
        <w:spacing w:line="500" w:lineRule="exact"/>
        <w:ind w:firstLine="480" w:firstLineChars="200"/>
        <w:rPr>
          <w:rFonts w:ascii="方正仿宋_GBK" w:eastAsia="方正仿宋_GBK"/>
          <w:b/>
          <w:color w:val="auto"/>
          <w:sz w:val="24"/>
          <w:szCs w:val="22"/>
          <w:highlight w:val="none"/>
        </w:rPr>
      </w:pPr>
      <w:bookmarkStart w:id="18" w:name="_Toc452024149"/>
      <w:r>
        <w:rPr>
          <w:rFonts w:hint="eastAsia" w:ascii="方正仿宋_GBK" w:eastAsia="方正仿宋_GBK"/>
          <w:b/>
          <w:color w:val="auto"/>
          <w:sz w:val="24"/>
          <w:szCs w:val="22"/>
          <w:highlight w:val="none"/>
        </w:rPr>
        <w:t>六、磋商有关规定</w:t>
      </w:r>
      <w:bookmarkEnd w:id="18"/>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ascii="方正仿宋_GBK" w:hAnsi="宋体" w:eastAsia="方正仿宋_GBK"/>
          <w:color w:val="auto"/>
          <w:sz w:val="24"/>
          <w:szCs w:val="24"/>
          <w:highlight w:val="none"/>
        </w:rPr>
        <w:t>单位负责人为同一人或者存在直接控股、管理关系的不同供应商，不得参加同一合同项下的政府采购活动</w:t>
      </w:r>
      <w:r>
        <w:rPr>
          <w:rFonts w:hint="eastAsia" w:ascii="方正仿宋_GBK" w:hAnsi="宋体" w:eastAsia="方正仿宋_GBK"/>
          <w:color w:val="auto"/>
          <w:sz w:val="24"/>
          <w:szCs w:val="24"/>
          <w:highlight w:val="none"/>
        </w:rPr>
        <w:t>，否则均为无效响应</w:t>
      </w:r>
      <w:r>
        <w:rPr>
          <w:rFonts w:ascii="方正仿宋_GBK" w:hAnsi="宋体" w:eastAsia="方正仿宋_GBK"/>
          <w:color w:val="auto"/>
          <w:sz w:val="24"/>
          <w:szCs w:val="24"/>
          <w:highlight w:val="none"/>
        </w:rPr>
        <w:t>。</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ascii="方正仿宋_GBK" w:hAnsi="宋体" w:eastAsia="方正仿宋_GBK"/>
          <w:color w:val="auto"/>
          <w:sz w:val="24"/>
          <w:szCs w:val="24"/>
          <w:highlight w:val="none"/>
        </w:rPr>
        <w:t>为采购项目提供整体设计、规范编制或者项目管理、监理、检测等服务的供应商，不得再参加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w:t>
      </w:r>
      <w:r>
        <w:rPr>
          <w:rFonts w:ascii="方正仿宋_GBK" w:hAnsi="宋体" w:eastAsia="方正仿宋_GBK"/>
          <w:color w:val="auto"/>
          <w:sz w:val="24"/>
          <w:szCs w:val="24"/>
          <w:highlight w:val="none"/>
        </w:rPr>
        <w:t>合同项下</w:t>
      </w:r>
      <w:r>
        <w:rPr>
          <w:rFonts w:hint="eastAsia" w:ascii="方正仿宋_GBK" w:hAnsi="宋体" w:eastAsia="方正仿宋_GBK"/>
          <w:color w:val="auto"/>
          <w:sz w:val="24"/>
          <w:szCs w:val="24"/>
          <w:highlight w:val="none"/>
        </w:rPr>
        <w:t>为单一品目的货物采购招标中，同一品牌同一型号产品有多家供应商参加投标，只能按照一家供应商计算。</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w:t>
      </w:r>
      <w:r>
        <w:rPr>
          <w:rFonts w:ascii="方正仿宋_GBK" w:hAnsi="宋体" w:eastAsia="方正仿宋_GBK"/>
          <w:color w:val="auto"/>
          <w:sz w:val="24"/>
          <w:szCs w:val="24"/>
          <w:highlight w:val="none"/>
        </w:rPr>
        <w:t>合同项下</w:t>
      </w:r>
      <w:r>
        <w:rPr>
          <w:rFonts w:hint="eastAsia" w:ascii="方正仿宋_GBK" w:hAnsi="宋体" w:eastAsia="方正仿宋_GBK"/>
          <w:color w:val="auto"/>
          <w:sz w:val="24"/>
          <w:szCs w:val="24"/>
          <w:highlight w:val="none"/>
        </w:rPr>
        <w:t>的货物，制造商参与投标的，不得再委托代理商参与投标。</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（五）本项目的补遗文件（如果有）一律在四川外国语大学（www.sisu.edu.cn）上发布，请各供应商注意下载；无论供应商下载与否，均视同供应商已知晓本项目补遗文件的内容。</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（六）超过磋商截止时间递交的响应文件，恕不接收。</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（七）磋商费用：</w:t>
      </w:r>
      <w:r>
        <w:rPr>
          <w:rFonts w:hint="eastAsia" w:ascii="方正仿宋_GBK" w:eastAsia="方正仿宋_GBK"/>
          <w:color w:val="auto"/>
          <w:sz w:val="24"/>
          <w:szCs w:val="24"/>
          <w:highlight w:val="none"/>
        </w:rPr>
        <w:t>无论投标结果如何，供应商参与本项目投标的所有费用均应由供应商自行承担。</w:t>
      </w:r>
    </w:p>
    <w:p>
      <w:pPr>
        <w:pStyle w:val="4"/>
        <w:spacing w:line="500" w:lineRule="exact"/>
        <w:ind w:firstLine="480" w:firstLineChars="200"/>
        <w:rPr>
          <w:rFonts w:ascii="方正仿宋_GBK" w:eastAsia="方正仿宋_GBK"/>
          <w:b/>
          <w:color w:val="auto"/>
          <w:sz w:val="24"/>
          <w:highlight w:val="none"/>
        </w:rPr>
      </w:pPr>
      <w:bookmarkStart w:id="19" w:name="_Toc452024150"/>
      <w:r>
        <w:rPr>
          <w:rFonts w:hint="eastAsia" w:ascii="方正仿宋_GBK" w:eastAsia="方正仿宋_GBK"/>
          <w:b/>
          <w:color w:val="auto"/>
          <w:sz w:val="24"/>
          <w:highlight w:val="none"/>
        </w:rPr>
        <w:t>七、联系方式</w:t>
      </w:r>
      <w:bookmarkEnd w:id="19"/>
    </w:p>
    <w:tbl>
      <w:tblPr>
        <w:tblStyle w:val="65"/>
        <w:tblW w:w="9840" w:type="dxa"/>
        <w:tblInd w:w="-125" w:type="dxa"/>
        <w:tblLayout w:type="fixed"/>
        <w:tblCellMar>
          <w:top w:w="0" w:type="dxa"/>
          <w:left w:w="108" w:type="dxa"/>
          <w:bottom w:w="0" w:type="dxa"/>
          <w:right w:w="108" w:type="dxa"/>
        </w:tblCellMar>
      </w:tblPr>
      <w:tblGrid>
        <w:gridCol w:w="4665"/>
        <w:gridCol w:w="5175"/>
      </w:tblGrid>
      <w:tr>
        <w:tblPrEx>
          <w:tblLayout w:type="fixed"/>
          <w:tblCellMar>
            <w:top w:w="0" w:type="dxa"/>
            <w:left w:w="108" w:type="dxa"/>
            <w:bottom w:w="0" w:type="dxa"/>
            <w:right w:w="108" w:type="dxa"/>
          </w:tblCellMar>
        </w:tblPrEx>
        <w:tc>
          <w:tcPr>
            <w:tcW w:w="466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采购人：四川外国语大学招投标采购办公室</w:t>
            </w:r>
          </w:p>
        </w:tc>
        <w:tc>
          <w:tcPr>
            <w:tcW w:w="517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采购代理机构：重庆泓展建设工程咨询有限公司</w:t>
            </w:r>
          </w:p>
        </w:tc>
      </w:tr>
      <w:tr>
        <w:tblPrEx>
          <w:tblLayout w:type="fixed"/>
          <w:tblCellMar>
            <w:top w:w="0" w:type="dxa"/>
            <w:left w:w="108" w:type="dxa"/>
            <w:bottom w:w="0" w:type="dxa"/>
            <w:right w:w="108" w:type="dxa"/>
          </w:tblCellMar>
        </w:tblPrEx>
        <w:trPr>
          <w:trHeight w:val="510" w:hRule="atLeast"/>
        </w:trPr>
        <w:tc>
          <w:tcPr>
            <w:tcW w:w="466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地址：重庆市沙坪坝区壮志路33号 </w:t>
            </w:r>
          </w:p>
        </w:tc>
        <w:tc>
          <w:tcPr>
            <w:tcW w:w="517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址：重庆市渝北区东湖南路333号中渝爱都会国际中心2幢25楼</w:t>
            </w:r>
          </w:p>
        </w:tc>
      </w:tr>
      <w:tr>
        <w:tblPrEx>
          <w:tblLayout w:type="fixed"/>
          <w:tblCellMar>
            <w:top w:w="0" w:type="dxa"/>
            <w:left w:w="108" w:type="dxa"/>
            <w:bottom w:w="0" w:type="dxa"/>
            <w:right w:w="108" w:type="dxa"/>
          </w:tblCellMar>
        </w:tblPrEx>
        <w:trPr>
          <w:trHeight w:val="330" w:hRule="atLeast"/>
        </w:trPr>
        <w:tc>
          <w:tcPr>
            <w:tcW w:w="466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联系人：吕老师</w:t>
            </w:r>
          </w:p>
        </w:tc>
        <w:tc>
          <w:tcPr>
            <w:tcW w:w="517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联系人：何老师</w:t>
            </w:r>
          </w:p>
        </w:tc>
      </w:tr>
      <w:tr>
        <w:tblPrEx>
          <w:tblLayout w:type="fixed"/>
          <w:tblCellMar>
            <w:top w:w="0" w:type="dxa"/>
            <w:left w:w="108" w:type="dxa"/>
            <w:bottom w:w="0" w:type="dxa"/>
            <w:right w:w="108" w:type="dxa"/>
          </w:tblCellMar>
        </w:tblPrEx>
        <w:tc>
          <w:tcPr>
            <w:tcW w:w="466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联系电话：023-65385008</w:t>
            </w:r>
          </w:p>
        </w:tc>
        <w:tc>
          <w:tcPr>
            <w:tcW w:w="517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话：023-63082043</w:t>
            </w:r>
          </w:p>
        </w:tc>
      </w:tr>
      <w:tr>
        <w:tblPrEx>
          <w:tblLayout w:type="fixed"/>
          <w:tblCellMar>
            <w:top w:w="0" w:type="dxa"/>
            <w:left w:w="108" w:type="dxa"/>
            <w:bottom w:w="0" w:type="dxa"/>
            <w:right w:w="108" w:type="dxa"/>
          </w:tblCellMar>
        </w:tblPrEx>
        <w:trPr>
          <w:trHeight w:val="80" w:hRule="atLeast"/>
        </w:trPr>
        <w:tc>
          <w:tcPr>
            <w:tcW w:w="466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传真：/</w:t>
            </w:r>
          </w:p>
        </w:tc>
        <w:tc>
          <w:tcPr>
            <w:tcW w:w="517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传  真：023-67631766</w:t>
            </w:r>
          </w:p>
        </w:tc>
      </w:tr>
    </w:tbl>
    <w:p>
      <w:pPr>
        <w:pStyle w:val="3"/>
        <w:spacing w:beforeLines="0" w:afterLines="0" w:line="360" w:lineRule="auto"/>
        <w:jc w:val="right"/>
        <w:rPr>
          <w:rFonts w:hint="eastAsia" w:ascii="方正仿宋_GBK" w:hAnsi="Times New Roman" w:eastAsia="方正仿宋_GBK" w:cs="Times New Roman"/>
          <w:color w:val="auto"/>
          <w:kern w:val="2"/>
          <w:sz w:val="24"/>
          <w:szCs w:val="24"/>
          <w:highlight w:val="none"/>
          <w:lang w:val="en-US" w:eastAsia="zh-CN" w:bidi="ar-SA"/>
        </w:rPr>
      </w:pPr>
    </w:p>
    <w:p>
      <w:pPr>
        <w:pStyle w:val="3"/>
        <w:spacing w:beforeLines="0" w:afterLines="0" w:line="360" w:lineRule="auto"/>
        <w:jc w:val="right"/>
        <w:rPr>
          <w:rFonts w:ascii="方正小标宋_GBK" w:eastAsia="方正小标宋_GBK"/>
          <w:color w:val="auto"/>
          <w:highlight w:val="none"/>
        </w:rPr>
      </w:pPr>
      <w:r>
        <w:rPr>
          <w:rFonts w:hint="eastAsia" w:ascii="方正仿宋_GBK" w:hAnsi="Times New Roman" w:eastAsia="方正仿宋_GBK" w:cs="Times New Roman"/>
          <w:color w:val="auto"/>
          <w:kern w:val="2"/>
          <w:sz w:val="24"/>
          <w:szCs w:val="24"/>
          <w:highlight w:val="none"/>
          <w:lang w:val="en-US" w:eastAsia="zh-CN" w:bidi="ar-SA"/>
        </w:rPr>
        <w:t>2018年</w:t>
      </w:r>
      <w:r>
        <w:rPr>
          <w:rFonts w:hint="eastAsia" w:ascii="方正仿宋_GBK" w:eastAsia="方正仿宋_GBK" w:cs="Times New Roman"/>
          <w:color w:val="auto"/>
          <w:kern w:val="2"/>
          <w:sz w:val="24"/>
          <w:szCs w:val="24"/>
          <w:highlight w:val="none"/>
          <w:u w:val="single"/>
          <w:lang w:val="en-US" w:eastAsia="zh-CN" w:bidi="ar-SA"/>
        </w:rPr>
        <w:t>7</w:t>
      </w:r>
      <w:r>
        <w:rPr>
          <w:rFonts w:hint="eastAsia" w:ascii="方正仿宋_GBK" w:hAnsi="Times New Roman" w:eastAsia="方正仿宋_GBK" w:cs="Times New Roman"/>
          <w:color w:val="auto"/>
          <w:kern w:val="2"/>
          <w:sz w:val="24"/>
          <w:szCs w:val="24"/>
          <w:highlight w:val="none"/>
          <w:lang w:val="en-US" w:eastAsia="zh-CN" w:bidi="ar-SA"/>
        </w:rPr>
        <w:t>月</w:t>
      </w:r>
      <w:r>
        <w:rPr>
          <w:rFonts w:hint="eastAsia" w:ascii="方正仿宋_GBK" w:eastAsia="方正仿宋_GBK" w:cs="Times New Roman"/>
          <w:color w:val="auto"/>
          <w:kern w:val="2"/>
          <w:sz w:val="24"/>
          <w:szCs w:val="24"/>
          <w:highlight w:val="none"/>
          <w:u w:val="single"/>
          <w:lang w:val="en-US" w:eastAsia="zh-CN" w:bidi="ar-SA"/>
        </w:rPr>
        <w:t>11</w:t>
      </w:r>
      <w:r>
        <w:rPr>
          <w:rFonts w:hint="eastAsia" w:ascii="方正仿宋_GBK" w:hAnsi="Times New Roman" w:eastAsia="方正仿宋_GBK" w:cs="Times New Roman"/>
          <w:color w:val="auto"/>
          <w:kern w:val="2"/>
          <w:sz w:val="24"/>
          <w:szCs w:val="24"/>
          <w:highlight w:val="none"/>
          <w:lang w:val="en-US" w:eastAsia="zh-CN" w:bidi="ar-SA"/>
        </w:rPr>
        <w:t>日</w:t>
      </w:r>
      <w:r>
        <w:rPr>
          <w:color w:val="auto"/>
          <w:highlight w:val="none"/>
        </w:rPr>
        <w:br w:type="page"/>
      </w:r>
      <w:bookmarkStart w:id="20" w:name="_Toc14968"/>
      <w:bookmarkStart w:id="21" w:name="_Toc4488"/>
      <w:bookmarkStart w:id="22" w:name="_Toc452024151"/>
      <w:r>
        <w:rPr>
          <w:rFonts w:hint="eastAsia" w:ascii="方正小标宋_GBK" w:eastAsia="方正小标宋_GBK"/>
          <w:color w:val="auto"/>
          <w:highlight w:val="none"/>
        </w:rPr>
        <w:t>第二篇 项目技术规格、数量及质量要求</w:t>
      </w:r>
      <w:bookmarkEnd w:id="20"/>
      <w:bookmarkEnd w:id="21"/>
      <w:bookmarkEnd w:id="22"/>
    </w:p>
    <w:p>
      <w:pPr>
        <w:pStyle w:val="4"/>
        <w:spacing w:line="500" w:lineRule="exact"/>
        <w:ind w:firstLine="480" w:firstLineChars="200"/>
        <w:rPr>
          <w:rFonts w:ascii="方正仿宋_GBK" w:eastAsia="方正仿宋_GBK"/>
          <w:b/>
          <w:color w:val="auto"/>
          <w:sz w:val="24"/>
          <w:highlight w:val="none"/>
        </w:rPr>
      </w:pPr>
      <w:bookmarkStart w:id="23" w:name="_Toc452024152"/>
      <w:r>
        <w:rPr>
          <w:rFonts w:hint="eastAsia" w:ascii="方正仿宋_GBK" w:eastAsia="方正仿宋_GBK"/>
          <w:b/>
          <w:color w:val="auto"/>
          <w:sz w:val="24"/>
          <w:highlight w:val="none"/>
        </w:rPr>
        <w:t>一、磋商项目一览表</w:t>
      </w:r>
      <w:bookmarkEnd w:id="23"/>
    </w:p>
    <w:tbl>
      <w:tblPr>
        <w:tblStyle w:val="65"/>
        <w:tblW w:w="9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082"/>
        <w:gridCol w:w="588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463" w:type="dxa"/>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082" w:type="dxa"/>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项目名称</w:t>
            </w:r>
          </w:p>
        </w:tc>
        <w:tc>
          <w:tcPr>
            <w:tcW w:w="5880" w:type="dxa"/>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cs="宋体"/>
                <w:b/>
                <w:bCs/>
                <w:color w:val="auto"/>
                <w:kern w:val="0"/>
                <w:sz w:val="24"/>
                <w:szCs w:val="24"/>
                <w:highlight w:val="none"/>
              </w:rPr>
              <w:t>监理范围</w:t>
            </w:r>
          </w:p>
        </w:tc>
        <w:tc>
          <w:tcPr>
            <w:tcW w:w="1142" w:type="dxa"/>
            <w:vAlign w:val="center"/>
          </w:tcPr>
          <w:p>
            <w:pPr>
              <w:jc w:val="center"/>
              <w:rPr>
                <w:rFonts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jc w:val="center"/>
        </w:trPr>
        <w:tc>
          <w:tcPr>
            <w:tcW w:w="463" w:type="dxa"/>
            <w:vAlign w:val="center"/>
          </w:tcPr>
          <w:p>
            <w:pPr>
              <w:pStyle w:val="25"/>
              <w:spacing w:line="240" w:lineRule="auto"/>
              <w:ind w:left="0"/>
              <w:jc w:val="center"/>
              <w:outlineLvl w:val="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w:t>
            </w:r>
          </w:p>
        </w:tc>
        <w:tc>
          <w:tcPr>
            <w:tcW w:w="2082" w:type="dxa"/>
            <w:vAlign w:val="center"/>
          </w:tcPr>
          <w:p>
            <w:pPr>
              <w:snapToGrid w:val="0"/>
              <w:rPr>
                <w:rFonts w:hint="eastAsia" w:ascii="方正仿宋_GBK" w:hAnsi="宋体" w:eastAsia="方正仿宋_GBK" w:cs="宋体"/>
                <w:color w:val="auto"/>
                <w:kern w:val="0"/>
                <w:sz w:val="24"/>
                <w:szCs w:val="24"/>
                <w:highlight w:val="none"/>
              </w:rPr>
            </w:pPr>
          </w:p>
          <w:p>
            <w:pPr>
              <w:snapToGrid w:val="0"/>
              <w:jc w:val="center"/>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s="宋体"/>
                <w:color w:val="auto"/>
                <w:kern w:val="0"/>
                <w:sz w:val="24"/>
                <w:szCs w:val="24"/>
                <w:highlight w:val="none"/>
                <w:lang w:eastAsia="zh-CN"/>
              </w:rPr>
              <w:t>四川外国语大学游泳池监理单位服务采购（第二次）</w:t>
            </w:r>
          </w:p>
        </w:tc>
        <w:tc>
          <w:tcPr>
            <w:tcW w:w="5880" w:type="dxa"/>
            <w:vAlign w:val="center"/>
          </w:tcPr>
          <w:p>
            <w:pPr>
              <w:snapToGrid w:val="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本项目包含四川外国语大学新建一座游泳池项目监理，包括“四控制、两管理、一协调”，即投资控制、进度控制、质量控制、安全控制、合同管理、信息管理和现场组织协调。包含施工图示范围内所示全部内容及缺陷责任期阶段的监理。（具体详见本工程的施工图）。</w:t>
            </w:r>
          </w:p>
        </w:tc>
        <w:tc>
          <w:tcPr>
            <w:tcW w:w="1142" w:type="dxa"/>
            <w:vAlign w:val="center"/>
          </w:tcPr>
          <w:p>
            <w:pPr>
              <w:snapToGrid w:val="0"/>
              <w:rPr>
                <w:rFonts w:ascii="方正仿宋_GBK" w:hAnsi="宋体" w:eastAsia="方正仿宋_GBK" w:cs="宋体"/>
                <w:color w:val="auto"/>
                <w:kern w:val="0"/>
                <w:sz w:val="24"/>
                <w:szCs w:val="24"/>
                <w:highlight w:val="none"/>
              </w:rPr>
            </w:pPr>
          </w:p>
        </w:tc>
      </w:tr>
    </w:tbl>
    <w:p>
      <w:pPr>
        <w:pStyle w:val="4"/>
        <w:spacing w:line="500" w:lineRule="exact"/>
        <w:ind w:firstLine="480" w:firstLineChars="200"/>
        <w:rPr>
          <w:rFonts w:ascii="方正仿宋_GBK" w:eastAsia="方正仿宋_GBK"/>
          <w:b/>
          <w:color w:val="auto"/>
          <w:sz w:val="24"/>
          <w:highlight w:val="none"/>
        </w:rPr>
      </w:pPr>
      <w:bookmarkStart w:id="24" w:name="_Toc452024153"/>
      <w:r>
        <w:rPr>
          <w:rFonts w:hint="eastAsia" w:ascii="方正仿宋_GBK" w:eastAsia="方正仿宋_GBK"/>
          <w:b/>
          <w:color w:val="auto"/>
          <w:sz w:val="24"/>
          <w:highlight w:val="none"/>
        </w:rPr>
        <w:t>二、磋商项目技术需求</w:t>
      </w:r>
      <w:bookmarkEnd w:id="24"/>
    </w:p>
    <w:p>
      <w:pPr>
        <w:snapToGrid w:val="0"/>
        <w:spacing w:line="400" w:lineRule="exact"/>
        <w:ind w:firstLine="480" w:firstLineChars="200"/>
        <w:rPr>
          <w:rFonts w:ascii="方正仿宋_GBK" w:hAnsi="宋体" w:eastAsia="方正仿宋_GBK" w:cs="宋体"/>
          <w:color w:val="auto"/>
          <w:kern w:val="0"/>
          <w:sz w:val="24"/>
          <w:szCs w:val="24"/>
          <w:highlight w:val="none"/>
        </w:rPr>
      </w:pPr>
      <w:bookmarkStart w:id="25" w:name="_Toc452024154"/>
      <w:r>
        <w:rPr>
          <w:rFonts w:hint="eastAsia" w:ascii="方正仿宋_GBK" w:hAnsi="宋体" w:eastAsia="方正仿宋_GBK" w:cs="宋体"/>
          <w:color w:val="auto"/>
          <w:kern w:val="0"/>
          <w:sz w:val="24"/>
          <w:szCs w:val="24"/>
          <w:highlight w:val="none"/>
        </w:rPr>
        <w:t>（一）供应商拟派驻地监理机构人员要求：</w:t>
      </w:r>
    </w:p>
    <w:p>
      <w:pPr>
        <w:snapToGrid w:val="0"/>
        <w:spacing w:line="400" w:lineRule="exact"/>
        <w:ind w:firstLine="480" w:firstLineChars="200"/>
        <w:rPr>
          <w:rFonts w:ascii="方正仿宋_GBK" w:hAnsi="宋体" w:eastAsia="方正仿宋_GBK" w:cs="宋体"/>
          <w:b/>
          <w:bCs/>
          <w:color w:val="auto"/>
          <w:kern w:val="0"/>
          <w:sz w:val="24"/>
          <w:szCs w:val="24"/>
          <w:highlight w:val="none"/>
        </w:rPr>
      </w:pPr>
      <w:r>
        <w:rPr>
          <w:rFonts w:hint="eastAsia" w:ascii="方正仿宋_GBK" w:hAnsi="宋体" w:eastAsia="方正仿宋_GBK" w:cs="宋体"/>
          <w:color w:val="auto"/>
          <w:kern w:val="0"/>
          <w:sz w:val="24"/>
          <w:szCs w:val="24"/>
          <w:highlight w:val="none"/>
        </w:rPr>
        <w:t>1、总监理工程师1人。总监理工程师须具备建设行政主管部门颁发的有效的《监理注册执业证书》，且注册专业为</w:t>
      </w:r>
      <w:r>
        <w:rPr>
          <w:rFonts w:hint="eastAsia" w:ascii="方正仿宋_GBK" w:hAnsi="宋体" w:eastAsia="方正仿宋_GBK" w:cs="宋体"/>
          <w:color w:val="auto"/>
          <w:kern w:val="0"/>
          <w:sz w:val="24"/>
          <w:szCs w:val="24"/>
          <w:highlight w:val="none"/>
          <w:u w:val="single"/>
        </w:rPr>
        <w:t>房屋建筑工程</w:t>
      </w:r>
      <w:r>
        <w:rPr>
          <w:rFonts w:hint="eastAsia" w:ascii="方正仿宋_GBK" w:hAnsi="宋体" w:eastAsia="方正仿宋_GBK" w:cs="宋体"/>
          <w:color w:val="auto"/>
          <w:kern w:val="0"/>
          <w:sz w:val="24"/>
          <w:szCs w:val="24"/>
          <w:highlight w:val="none"/>
        </w:rPr>
        <w:t>，必须在本单位注册，具备</w:t>
      </w:r>
      <w:r>
        <w:rPr>
          <w:rFonts w:hint="eastAsia" w:ascii="方正仿宋_GBK" w:hAnsi="宋体" w:eastAsia="方正仿宋_GBK" w:cs="宋体"/>
          <w:color w:val="auto"/>
          <w:kern w:val="0"/>
          <w:sz w:val="24"/>
          <w:szCs w:val="24"/>
          <w:highlight w:val="none"/>
          <w:u w:val="single"/>
        </w:rPr>
        <w:t xml:space="preserve"> 工程 </w:t>
      </w:r>
      <w:r>
        <w:rPr>
          <w:rFonts w:hint="eastAsia" w:ascii="方正仿宋_GBK" w:hAnsi="宋体" w:eastAsia="方正仿宋_GBK" w:cs="宋体"/>
          <w:color w:val="auto"/>
          <w:kern w:val="0"/>
          <w:sz w:val="24"/>
          <w:szCs w:val="24"/>
          <w:highlight w:val="none"/>
        </w:rPr>
        <w:t>类中级及以上职称，否则为无效响应。</w:t>
      </w:r>
      <w:r>
        <w:rPr>
          <w:rFonts w:hint="eastAsia" w:ascii="方正仿宋_GBK" w:hAnsi="宋体" w:eastAsia="方正仿宋_GBK" w:cs="宋体"/>
          <w:b/>
          <w:bCs/>
          <w:color w:val="auto"/>
          <w:kern w:val="0"/>
          <w:sz w:val="24"/>
          <w:szCs w:val="24"/>
          <w:highlight w:val="none"/>
        </w:rPr>
        <w:t>（须提供注册监理工程师资格注册证、职称证、至少提供201</w:t>
      </w:r>
      <w:r>
        <w:rPr>
          <w:rFonts w:hint="eastAsia" w:ascii="方正仿宋_GBK" w:hAnsi="宋体" w:eastAsia="方正仿宋_GBK" w:cs="宋体"/>
          <w:b/>
          <w:bCs/>
          <w:color w:val="auto"/>
          <w:kern w:val="0"/>
          <w:sz w:val="24"/>
          <w:szCs w:val="24"/>
          <w:highlight w:val="none"/>
          <w:lang w:val="en-US" w:eastAsia="zh-CN"/>
        </w:rPr>
        <w:t>8</w:t>
      </w:r>
      <w:r>
        <w:rPr>
          <w:rFonts w:hint="eastAsia" w:ascii="方正仿宋_GBK" w:hAnsi="宋体" w:eastAsia="方正仿宋_GBK" w:cs="宋体"/>
          <w:b/>
          <w:bCs/>
          <w:color w:val="auto"/>
          <w:kern w:val="0"/>
          <w:sz w:val="24"/>
          <w:szCs w:val="24"/>
          <w:highlight w:val="none"/>
        </w:rPr>
        <w:t>年</w:t>
      </w:r>
      <w:r>
        <w:rPr>
          <w:rFonts w:hint="eastAsia" w:ascii="方正仿宋_GBK" w:hAnsi="宋体" w:eastAsia="方正仿宋_GBK" w:cs="宋体"/>
          <w:b/>
          <w:bCs/>
          <w:color w:val="auto"/>
          <w:kern w:val="0"/>
          <w:sz w:val="24"/>
          <w:szCs w:val="24"/>
          <w:highlight w:val="none"/>
          <w:lang w:val="en-US" w:eastAsia="zh-CN"/>
        </w:rPr>
        <w:t>1</w:t>
      </w:r>
      <w:r>
        <w:rPr>
          <w:rFonts w:hint="eastAsia" w:ascii="方正仿宋_GBK" w:hAnsi="宋体" w:eastAsia="方正仿宋_GBK" w:cs="宋体"/>
          <w:b/>
          <w:bCs/>
          <w:color w:val="auto"/>
          <w:kern w:val="0"/>
          <w:sz w:val="24"/>
          <w:szCs w:val="24"/>
          <w:highlight w:val="none"/>
        </w:rPr>
        <w:t>月-2018年</w:t>
      </w:r>
      <w:r>
        <w:rPr>
          <w:rFonts w:hint="eastAsia" w:ascii="方正仿宋_GBK" w:hAnsi="宋体" w:eastAsia="方正仿宋_GBK" w:cs="宋体"/>
          <w:b/>
          <w:bCs/>
          <w:color w:val="auto"/>
          <w:kern w:val="0"/>
          <w:sz w:val="24"/>
          <w:szCs w:val="24"/>
          <w:highlight w:val="none"/>
          <w:lang w:val="en-US" w:eastAsia="zh-CN"/>
        </w:rPr>
        <w:t>6</w:t>
      </w:r>
      <w:r>
        <w:rPr>
          <w:rFonts w:hint="eastAsia" w:ascii="方正仿宋_GBK" w:hAnsi="宋体" w:eastAsia="方正仿宋_GBK" w:cs="宋体"/>
          <w:b/>
          <w:bCs/>
          <w:color w:val="auto"/>
          <w:kern w:val="0"/>
          <w:sz w:val="24"/>
          <w:szCs w:val="24"/>
          <w:highlight w:val="none"/>
        </w:rPr>
        <w:t>月以本单位名义连续缴纳的养老保险复印件并加盖供应商单位公章）</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2、至少配备房屋建筑工程专业监理工程师和机电安装工程专业监理工程师各1人。专业监理工程师</w:t>
      </w:r>
      <w:r>
        <w:rPr>
          <w:rFonts w:hint="eastAsia" w:ascii="方正仿宋_GBK" w:hAnsi="宋体" w:eastAsia="方正仿宋_GBK" w:cs="宋体"/>
          <w:color w:val="auto"/>
          <w:kern w:val="0"/>
          <w:sz w:val="24"/>
          <w:szCs w:val="24"/>
          <w:highlight w:val="none"/>
          <w:lang w:eastAsia="zh-CN"/>
        </w:rPr>
        <w:t>须</w:t>
      </w:r>
      <w:r>
        <w:rPr>
          <w:rFonts w:hint="eastAsia" w:ascii="方正仿宋_GBK" w:hAnsi="宋体" w:eastAsia="方正仿宋_GBK" w:cs="宋体"/>
          <w:color w:val="auto"/>
          <w:kern w:val="0"/>
          <w:sz w:val="24"/>
          <w:szCs w:val="24"/>
          <w:highlight w:val="none"/>
        </w:rPr>
        <w:t>具备建设行政主管部门颁发的有效的《监理注册执业证书》或《重庆市监理工程师岗位证书》</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必须在本单位注册</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w:t>
      </w:r>
      <w:r>
        <w:rPr>
          <w:rFonts w:hint="eastAsia" w:ascii="方正仿宋_GBK" w:hAnsi="宋体" w:eastAsia="方正仿宋_GBK" w:cs="宋体"/>
          <w:b/>
          <w:bCs/>
          <w:color w:val="auto"/>
          <w:kern w:val="0"/>
          <w:sz w:val="24"/>
          <w:szCs w:val="24"/>
          <w:highlight w:val="none"/>
        </w:rPr>
        <w:t>须提供专业监理工程师岗位证书或监理注册执业证书、至少提供201</w:t>
      </w:r>
      <w:r>
        <w:rPr>
          <w:rFonts w:hint="eastAsia" w:ascii="方正仿宋_GBK" w:hAnsi="宋体" w:eastAsia="方正仿宋_GBK" w:cs="宋体"/>
          <w:b/>
          <w:bCs/>
          <w:color w:val="auto"/>
          <w:kern w:val="0"/>
          <w:sz w:val="24"/>
          <w:szCs w:val="24"/>
          <w:highlight w:val="none"/>
          <w:lang w:val="en-US" w:eastAsia="zh-CN"/>
        </w:rPr>
        <w:t>8</w:t>
      </w:r>
      <w:r>
        <w:rPr>
          <w:rFonts w:hint="eastAsia" w:ascii="方正仿宋_GBK" w:hAnsi="宋体" w:eastAsia="方正仿宋_GBK" w:cs="宋体"/>
          <w:b/>
          <w:bCs/>
          <w:color w:val="auto"/>
          <w:kern w:val="0"/>
          <w:sz w:val="24"/>
          <w:szCs w:val="24"/>
          <w:highlight w:val="none"/>
        </w:rPr>
        <w:t>年</w:t>
      </w:r>
      <w:r>
        <w:rPr>
          <w:rFonts w:hint="eastAsia" w:ascii="方正仿宋_GBK" w:hAnsi="宋体" w:eastAsia="方正仿宋_GBK" w:cs="宋体"/>
          <w:b/>
          <w:bCs/>
          <w:color w:val="auto"/>
          <w:kern w:val="0"/>
          <w:sz w:val="24"/>
          <w:szCs w:val="24"/>
          <w:highlight w:val="none"/>
          <w:lang w:val="en-US" w:eastAsia="zh-CN"/>
        </w:rPr>
        <w:t>1</w:t>
      </w:r>
      <w:r>
        <w:rPr>
          <w:rFonts w:hint="eastAsia" w:ascii="方正仿宋_GBK" w:hAnsi="宋体" w:eastAsia="方正仿宋_GBK" w:cs="宋体"/>
          <w:b/>
          <w:bCs/>
          <w:color w:val="auto"/>
          <w:kern w:val="0"/>
          <w:sz w:val="24"/>
          <w:szCs w:val="24"/>
          <w:highlight w:val="none"/>
        </w:rPr>
        <w:t>月-2018年</w:t>
      </w:r>
      <w:r>
        <w:rPr>
          <w:rFonts w:hint="eastAsia" w:ascii="方正仿宋_GBK" w:hAnsi="宋体" w:eastAsia="方正仿宋_GBK" w:cs="宋体"/>
          <w:b/>
          <w:bCs/>
          <w:color w:val="auto"/>
          <w:kern w:val="0"/>
          <w:sz w:val="24"/>
          <w:szCs w:val="24"/>
          <w:highlight w:val="none"/>
          <w:lang w:val="en-US" w:eastAsia="zh-CN"/>
        </w:rPr>
        <w:t>6</w:t>
      </w:r>
      <w:r>
        <w:rPr>
          <w:rFonts w:hint="eastAsia" w:ascii="方正仿宋_GBK" w:hAnsi="宋体" w:eastAsia="方正仿宋_GBK" w:cs="宋体"/>
          <w:b/>
          <w:bCs/>
          <w:color w:val="auto"/>
          <w:kern w:val="0"/>
          <w:sz w:val="24"/>
          <w:szCs w:val="24"/>
          <w:highlight w:val="none"/>
        </w:rPr>
        <w:t>月以本单位名义连续缴纳的养老保险复印件并加盖供应商单位公章）</w:t>
      </w:r>
    </w:p>
    <w:p>
      <w:pPr>
        <w:snapToGrid w:val="0"/>
        <w:spacing w:line="400" w:lineRule="exact"/>
        <w:ind w:firstLine="480" w:firstLineChars="200"/>
        <w:rPr>
          <w:rFonts w:ascii="方正仿宋_GBK" w:hAnsi="宋体" w:eastAsia="方正仿宋_GBK" w:cs="宋体"/>
          <w:b/>
          <w:bCs/>
          <w:color w:val="auto"/>
          <w:kern w:val="0"/>
          <w:sz w:val="24"/>
          <w:szCs w:val="24"/>
          <w:highlight w:val="none"/>
        </w:rPr>
      </w:pPr>
      <w:r>
        <w:rPr>
          <w:rFonts w:hint="eastAsia" w:ascii="方正仿宋_GBK" w:hAnsi="宋体" w:eastAsia="方正仿宋_GBK" w:cs="宋体"/>
          <w:color w:val="auto"/>
          <w:kern w:val="0"/>
          <w:sz w:val="24"/>
          <w:szCs w:val="24"/>
          <w:highlight w:val="none"/>
        </w:rPr>
        <w:t>3、至少配备现场监理员1人，监理员</w:t>
      </w:r>
      <w:r>
        <w:rPr>
          <w:rFonts w:hint="eastAsia" w:ascii="方正仿宋_GBK" w:hAnsi="宋体" w:eastAsia="方正仿宋_GBK" w:cs="宋体"/>
          <w:color w:val="auto"/>
          <w:kern w:val="0"/>
          <w:sz w:val="24"/>
          <w:szCs w:val="24"/>
          <w:highlight w:val="none"/>
          <w:lang w:eastAsia="zh-CN"/>
        </w:rPr>
        <w:t>须</w:t>
      </w:r>
      <w:r>
        <w:rPr>
          <w:rFonts w:hint="eastAsia" w:ascii="方正仿宋_GBK" w:hAnsi="宋体" w:eastAsia="方正仿宋_GBK" w:cs="宋体"/>
          <w:color w:val="auto"/>
          <w:kern w:val="0"/>
          <w:sz w:val="24"/>
          <w:szCs w:val="24"/>
          <w:highlight w:val="none"/>
        </w:rPr>
        <w:t>具备</w:t>
      </w:r>
      <w:r>
        <w:rPr>
          <w:rFonts w:hint="eastAsia" w:ascii="方正仿宋_GBK" w:hAnsi="宋体" w:eastAsia="方正仿宋_GBK" w:cs="宋体"/>
          <w:color w:val="auto"/>
          <w:kern w:val="0"/>
          <w:sz w:val="24"/>
          <w:szCs w:val="24"/>
          <w:highlight w:val="none"/>
          <w:lang w:eastAsia="zh-CN"/>
        </w:rPr>
        <w:t>在本单位注册的</w:t>
      </w:r>
      <w:r>
        <w:rPr>
          <w:rFonts w:hint="eastAsia" w:ascii="方正仿宋_GBK" w:hAnsi="宋体" w:eastAsia="方正仿宋_GBK" w:cs="宋体"/>
          <w:color w:val="auto"/>
          <w:kern w:val="0"/>
          <w:sz w:val="24"/>
          <w:szCs w:val="24"/>
          <w:highlight w:val="none"/>
        </w:rPr>
        <w:t>监理员岗位证书。</w:t>
      </w:r>
      <w:r>
        <w:rPr>
          <w:rFonts w:hint="eastAsia" w:ascii="方正仿宋_GBK" w:hAnsi="宋体" w:eastAsia="方正仿宋_GBK" w:cs="宋体"/>
          <w:b/>
          <w:bCs/>
          <w:color w:val="auto"/>
          <w:kern w:val="0"/>
          <w:sz w:val="24"/>
          <w:szCs w:val="24"/>
          <w:highlight w:val="none"/>
        </w:rPr>
        <w:t>（须监理员提供岗位证书、至少提供201</w:t>
      </w:r>
      <w:r>
        <w:rPr>
          <w:rFonts w:hint="eastAsia" w:ascii="方正仿宋_GBK" w:hAnsi="宋体" w:eastAsia="方正仿宋_GBK" w:cs="宋体"/>
          <w:b/>
          <w:bCs/>
          <w:color w:val="auto"/>
          <w:kern w:val="0"/>
          <w:sz w:val="24"/>
          <w:szCs w:val="24"/>
          <w:highlight w:val="none"/>
          <w:lang w:val="en-US" w:eastAsia="zh-CN"/>
        </w:rPr>
        <w:t>8</w:t>
      </w:r>
      <w:r>
        <w:rPr>
          <w:rFonts w:hint="eastAsia" w:ascii="方正仿宋_GBK" w:hAnsi="宋体" w:eastAsia="方正仿宋_GBK" w:cs="宋体"/>
          <w:b/>
          <w:bCs/>
          <w:color w:val="auto"/>
          <w:kern w:val="0"/>
          <w:sz w:val="24"/>
          <w:szCs w:val="24"/>
          <w:highlight w:val="none"/>
        </w:rPr>
        <w:t>年</w:t>
      </w:r>
      <w:r>
        <w:rPr>
          <w:rFonts w:hint="eastAsia" w:ascii="方正仿宋_GBK" w:hAnsi="宋体" w:eastAsia="方正仿宋_GBK" w:cs="宋体"/>
          <w:b/>
          <w:bCs/>
          <w:color w:val="auto"/>
          <w:kern w:val="0"/>
          <w:sz w:val="24"/>
          <w:szCs w:val="24"/>
          <w:highlight w:val="none"/>
          <w:lang w:val="en-US" w:eastAsia="zh-CN"/>
        </w:rPr>
        <w:t>1</w:t>
      </w:r>
      <w:r>
        <w:rPr>
          <w:rFonts w:hint="eastAsia" w:ascii="方正仿宋_GBK" w:hAnsi="宋体" w:eastAsia="方正仿宋_GBK" w:cs="宋体"/>
          <w:b/>
          <w:bCs/>
          <w:color w:val="auto"/>
          <w:kern w:val="0"/>
          <w:sz w:val="24"/>
          <w:szCs w:val="24"/>
          <w:highlight w:val="none"/>
        </w:rPr>
        <w:t>月-2018年</w:t>
      </w:r>
      <w:r>
        <w:rPr>
          <w:rFonts w:hint="eastAsia" w:ascii="方正仿宋_GBK" w:hAnsi="宋体" w:eastAsia="方正仿宋_GBK" w:cs="宋体"/>
          <w:b/>
          <w:bCs/>
          <w:color w:val="auto"/>
          <w:kern w:val="0"/>
          <w:sz w:val="24"/>
          <w:szCs w:val="24"/>
          <w:highlight w:val="none"/>
          <w:lang w:val="en-US" w:eastAsia="zh-CN"/>
        </w:rPr>
        <w:t>6</w:t>
      </w:r>
      <w:r>
        <w:rPr>
          <w:rFonts w:hint="eastAsia" w:ascii="方正仿宋_GBK" w:hAnsi="宋体" w:eastAsia="方正仿宋_GBK" w:cs="宋体"/>
          <w:b/>
          <w:bCs/>
          <w:color w:val="auto"/>
          <w:kern w:val="0"/>
          <w:sz w:val="24"/>
          <w:szCs w:val="24"/>
          <w:highlight w:val="none"/>
        </w:rPr>
        <w:t>月以本单位名义连续缴纳的养老保险复印件并加盖供应商单位公章）</w:t>
      </w:r>
    </w:p>
    <w:bookmarkEnd w:id="25"/>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（二）监理目标</w:t>
      </w:r>
    </w:p>
    <w:p>
      <w:pPr>
        <w:pStyle w:val="35"/>
        <w:spacing w:line="400" w:lineRule="exact"/>
        <w:ind w:firstLine="480" w:firstLineChars="200"/>
        <w:rPr>
          <w:rFonts w:ascii="方正仿宋_GBK" w:hAnsi="宋体" w:eastAsia="方正仿宋_GBK" w:cs="宋体"/>
          <w:color w:val="auto"/>
          <w:kern w:val="0"/>
          <w:sz w:val="24"/>
          <w:szCs w:val="24"/>
          <w:highlight w:val="none"/>
        </w:rPr>
      </w:pPr>
      <w:bookmarkStart w:id="26" w:name="_Toc452024156"/>
      <w:bookmarkStart w:id="27" w:name="_Toc28573"/>
      <w:r>
        <w:rPr>
          <w:rFonts w:hint="eastAsia" w:ascii="方正仿宋_GBK" w:hAnsi="宋体" w:eastAsia="方正仿宋_GBK" w:cs="宋体"/>
          <w:color w:val="auto"/>
          <w:kern w:val="0"/>
          <w:sz w:val="24"/>
          <w:szCs w:val="24"/>
          <w:highlight w:val="none"/>
        </w:rPr>
        <w:t>达到国家现行有关施工质量验收规范要求，并达到合格标准。</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 xml:space="preserve">1、进度控制目标：督促施工单位采用合理的施工工艺和工序按合同施工工期完工。 </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2、安全控制目标：严格执行中华人民共和国国务院令第393号《建设工程安全生产管理条例》，监理期间无重大伤亡事故发生。</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3、合同信息管理目标：正确及时处理项目有关的合同索赔和合同纠纷，并对项目施工阶段的信息进行收集、整理和保管，保证过程中重要环节的可追溯性。</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4、除此之外，监理单位还必须满足项目施工合同中对质量、进度、安全、文明施工的要求。</w:t>
      </w:r>
    </w:p>
    <w:p>
      <w:pPr>
        <w:pStyle w:val="4"/>
        <w:spacing w:line="500" w:lineRule="exact"/>
        <w:ind w:firstLine="480" w:firstLineChars="200"/>
        <w:rPr>
          <w:rFonts w:ascii="方正仿宋_GBK" w:eastAsia="方正仿宋_GBK"/>
          <w:b/>
          <w:color w:val="auto"/>
          <w:sz w:val="24"/>
          <w:szCs w:val="22"/>
          <w:highlight w:val="none"/>
        </w:rPr>
      </w:pPr>
      <w:bookmarkStart w:id="28" w:name="_Toc493250941"/>
      <w:r>
        <w:rPr>
          <w:rFonts w:hint="eastAsia" w:ascii="方正仿宋_GBK" w:eastAsia="方正仿宋_GBK"/>
          <w:b/>
          <w:color w:val="auto"/>
          <w:sz w:val="24"/>
          <w:szCs w:val="22"/>
          <w:highlight w:val="none"/>
        </w:rPr>
        <w:t>三、其他</w:t>
      </w:r>
      <w:bookmarkEnd w:id="28"/>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1.供应商的具体服务内容和方式必须符合国家、地方法律法规。</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2.按要求购买从业人员社会保险，合同期间若发生涉及相关从业人员的劳资纠纷由供应商承担一切责任。</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 合同期间，供应商要严格遵守安全生产规定确保运营安全，运行中一切安全责任由供应商承担。</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4.其他未尽事宜由供需双方在采购合同中详细约定。</w:t>
      </w:r>
    </w:p>
    <w:p>
      <w:pPr>
        <w:pStyle w:val="3"/>
        <w:spacing w:beforeLines="0" w:afterLines="0" w:line="360" w:lineRule="auto"/>
        <w:rPr>
          <w:rFonts w:ascii="方正小标宋_GBK" w:eastAsia="方正小标宋_GBK"/>
          <w:color w:val="auto"/>
          <w:highlight w:val="none"/>
        </w:rPr>
      </w:pPr>
      <w:r>
        <w:rPr>
          <w:rFonts w:hint="eastAsia" w:ascii="方正小标宋_GBK" w:eastAsia="方正小标宋_GBK"/>
          <w:color w:val="auto"/>
          <w:highlight w:val="none"/>
        </w:rPr>
        <w:br w:type="page"/>
      </w:r>
      <w:bookmarkStart w:id="29" w:name="_Toc5474"/>
      <w:bookmarkStart w:id="30" w:name="_Toc20664_WPSOffice_Level1"/>
      <w:r>
        <w:rPr>
          <w:rFonts w:hint="eastAsia" w:ascii="方正小标宋_GBK" w:eastAsia="方正小标宋_GBK"/>
          <w:color w:val="auto"/>
          <w:highlight w:val="none"/>
        </w:rPr>
        <w:t>第三篇  项目商务要求</w:t>
      </w:r>
      <w:bookmarkEnd w:id="26"/>
      <w:bookmarkEnd w:id="27"/>
      <w:bookmarkEnd w:id="29"/>
      <w:bookmarkEnd w:id="30"/>
    </w:p>
    <w:p>
      <w:pPr>
        <w:pStyle w:val="4"/>
        <w:spacing w:line="500" w:lineRule="exact"/>
        <w:ind w:firstLine="480" w:firstLineChars="200"/>
        <w:rPr>
          <w:rFonts w:ascii="方正仿宋_GBK" w:eastAsia="方正仿宋_GBK"/>
          <w:b/>
          <w:color w:val="auto"/>
          <w:sz w:val="24"/>
          <w:szCs w:val="24"/>
          <w:highlight w:val="none"/>
        </w:rPr>
      </w:pPr>
      <w:bookmarkStart w:id="31" w:name="_Toc452024157"/>
      <w:bookmarkStart w:id="32" w:name="_Toc267320049"/>
      <w:r>
        <w:rPr>
          <w:rFonts w:hint="eastAsia" w:ascii="方正仿宋_GBK" w:eastAsia="方正仿宋_GBK"/>
          <w:b/>
          <w:color w:val="auto"/>
          <w:sz w:val="24"/>
          <w:szCs w:val="24"/>
          <w:highlight w:val="none"/>
        </w:rPr>
        <w:t>一、监理期</w:t>
      </w:r>
      <w:r>
        <w:rPr>
          <w:rFonts w:hint="eastAsia" w:ascii="方正仿宋_GBK" w:eastAsia="方正仿宋_GBK"/>
          <w:b/>
          <w:color w:val="auto"/>
          <w:sz w:val="24"/>
          <w:szCs w:val="24"/>
          <w:highlight w:val="none"/>
          <w:lang w:eastAsia="zh-CN"/>
        </w:rPr>
        <w:t>限及</w:t>
      </w:r>
      <w:r>
        <w:rPr>
          <w:rFonts w:hint="eastAsia" w:ascii="方正仿宋_GBK" w:eastAsia="方正仿宋_GBK"/>
          <w:b/>
          <w:color w:val="auto"/>
          <w:sz w:val="24"/>
          <w:szCs w:val="24"/>
          <w:highlight w:val="none"/>
        </w:rPr>
        <w:t>监理地点</w:t>
      </w:r>
      <w:bookmarkEnd w:id="31"/>
      <w:bookmarkEnd w:id="32"/>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（一）监理期限</w:t>
      </w:r>
    </w:p>
    <w:p>
      <w:pPr>
        <w:widowControl/>
        <w:spacing w:line="360" w:lineRule="auto"/>
        <w:ind w:firstLine="480" w:firstLineChars="200"/>
        <w:jc w:val="left"/>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监理服务期为：</w:t>
      </w:r>
      <w:r>
        <w:rPr>
          <w:rFonts w:hint="eastAsia" w:ascii="方正仿宋_GBK" w:hAnsi="宋体" w:eastAsia="方正仿宋_GBK" w:cs="宋体"/>
          <w:color w:val="auto"/>
          <w:kern w:val="0"/>
          <w:sz w:val="24"/>
          <w:szCs w:val="24"/>
          <w:highlight w:val="none"/>
          <w:u w:val="single"/>
        </w:rPr>
        <w:t>4</w:t>
      </w:r>
      <w:r>
        <w:rPr>
          <w:rFonts w:hint="eastAsia" w:ascii="方正仿宋_GBK" w:hAnsi="宋体" w:eastAsia="方正仿宋_GBK" w:cs="宋体"/>
          <w:color w:val="auto"/>
          <w:kern w:val="0"/>
          <w:sz w:val="24"/>
          <w:szCs w:val="24"/>
          <w:highlight w:val="none"/>
        </w:rPr>
        <w:t>个月（开工前的现场准备工作至交工验收完毕）及缺陷责任期24个月。</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（二）监理地点：四川外国语大学校内。</w:t>
      </w:r>
    </w:p>
    <w:p>
      <w:pPr>
        <w:pStyle w:val="4"/>
        <w:spacing w:line="500" w:lineRule="exact"/>
        <w:ind w:firstLine="480" w:firstLineChars="200"/>
        <w:rPr>
          <w:rFonts w:ascii="方正仿宋_GBK" w:eastAsia="方正仿宋_GBK"/>
          <w:b/>
          <w:color w:val="auto"/>
          <w:sz w:val="24"/>
          <w:szCs w:val="24"/>
          <w:highlight w:val="none"/>
        </w:rPr>
      </w:pPr>
      <w:bookmarkStart w:id="33" w:name="_Toc452024158"/>
      <w:bookmarkStart w:id="34" w:name="_Toc267320050"/>
      <w:r>
        <w:rPr>
          <w:rFonts w:hint="eastAsia" w:ascii="方正仿宋_GBK" w:eastAsia="方正仿宋_GBK"/>
          <w:b/>
          <w:color w:val="auto"/>
          <w:sz w:val="24"/>
          <w:szCs w:val="24"/>
          <w:highlight w:val="none"/>
        </w:rPr>
        <w:t>二、报价要求</w:t>
      </w:r>
      <w:bookmarkEnd w:id="33"/>
    </w:p>
    <w:bookmarkEnd w:id="34"/>
    <w:p>
      <w:pPr>
        <w:spacing w:line="440" w:lineRule="exact"/>
        <w:ind w:firstLine="480" w:firstLineChars="200"/>
        <w:rPr>
          <w:rFonts w:ascii="方正仿宋_GBK" w:hAnsi="宋体" w:eastAsia="方正仿宋_GBK" w:cs="宋体"/>
          <w:color w:val="auto"/>
          <w:kern w:val="0"/>
          <w:sz w:val="24"/>
          <w:szCs w:val="24"/>
          <w:highlight w:val="none"/>
        </w:rPr>
      </w:pPr>
      <w:bookmarkStart w:id="35" w:name="_Toc267320051"/>
      <w:bookmarkStart w:id="36" w:name="_Toc452024160"/>
      <w:r>
        <w:rPr>
          <w:rFonts w:hint="eastAsia" w:ascii="方正仿宋_GBK" w:hAnsi="宋体" w:eastAsia="方正仿宋_GBK" w:cs="宋体"/>
          <w:color w:val="auto"/>
          <w:kern w:val="0"/>
          <w:sz w:val="24"/>
          <w:szCs w:val="24"/>
          <w:highlight w:val="none"/>
        </w:rPr>
        <w:t>本次报价为人民币报价，投标时以监理服务费包干价报价，投标报价为完成本项目监理工作内容所需的全部费用，包括但不限于工作人员的工资、劳保、医疗、福利、津贴、保险、差旅费、治疗费，监理机构的管理费、税金、利润，并且包含检测设备、检测试验费、办公用品、交通工具、通讯设备，来渝的外地企业应综合考虑参加本项目磋商及履行合同产生的一切费税等全部费用。采购人除此以外不支付其它费用，供应商也不得与本项目的承包人发生任何经济关系。采购人不予支付与本工程监理有关的其它附加工作、额外工作的报酬。在施工监理服务期内无论物价变动、国家或地方政府的法律法规的变动、施工工期、监理服务期是否延长，均不增减监理服务费。</w:t>
      </w:r>
    </w:p>
    <w:p>
      <w:pPr>
        <w:spacing w:line="44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监理服务实施过程中,不因监理期限和建筑及投资规模作调整等任何原因而变更，请</w:t>
      </w:r>
      <w:r>
        <w:rPr>
          <w:rFonts w:hint="eastAsia" w:ascii="方正仿宋_GBK" w:hAnsi="宋体" w:eastAsia="方正仿宋_GBK" w:cs="宋体"/>
          <w:color w:val="auto"/>
          <w:kern w:val="0"/>
          <w:sz w:val="24"/>
          <w:szCs w:val="24"/>
          <w:highlight w:val="none"/>
          <w:lang w:eastAsia="zh-CN"/>
        </w:rPr>
        <w:t>供应商</w:t>
      </w:r>
      <w:r>
        <w:rPr>
          <w:rFonts w:hint="eastAsia" w:ascii="方正仿宋_GBK" w:hAnsi="宋体" w:eastAsia="方正仿宋_GBK" w:cs="宋体"/>
          <w:color w:val="auto"/>
          <w:kern w:val="0"/>
          <w:sz w:val="24"/>
          <w:szCs w:val="24"/>
          <w:highlight w:val="none"/>
        </w:rPr>
        <w:t>自行考虑报价风险。</w:t>
      </w:r>
    </w:p>
    <w:p>
      <w:pPr>
        <w:pStyle w:val="4"/>
        <w:spacing w:line="500" w:lineRule="exact"/>
        <w:ind w:firstLine="480" w:firstLineChars="200"/>
        <w:rPr>
          <w:rFonts w:ascii="方正仿宋_GBK" w:eastAsia="方正仿宋_GBK"/>
          <w:b/>
          <w:color w:val="auto"/>
          <w:sz w:val="24"/>
          <w:szCs w:val="24"/>
          <w:highlight w:val="none"/>
        </w:rPr>
      </w:pPr>
      <w:r>
        <w:rPr>
          <w:rFonts w:hint="eastAsia" w:ascii="方正仿宋_GBK" w:eastAsia="方正仿宋_GBK"/>
          <w:b/>
          <w:color w:val="auto"/>
          <w:sz w:val="24"/>
          <w:szCs w:val="24"/>
          <w:highlight w:val="none"/>
        </w:rPr>
        <w:t>三、付款方式</w:t>
      </w:r>
      <w:bookmarkEnd w:id="35"/>
      <w:bookmarkEnd w:id="36"/>
    </w:p>
    <w:p>
      <w:pPr>
        <w:snapToGrid w:val="0"/>
        <w:spacing w:line="400" w:lineRule="exact"/>
        <w:ind w:firstLine="480" w:firstLineChars="200"/>
        <w:rPr>
          <w:rFonts w:ascii="方正仿宋_GBK" w:hAnsi="宋体" w:eastAsia="方正仿宋_GBK" w:cs="宋体"/>
          <w:color w:val="auto"/>
          <w:kern w:val="0"/>
          <w:sz w:val="24"/>
          <w:szCs w:val="24"/>
          <w:highlight w:val="none"/>
        </w:rPr>
      </w:pPr>
      <w:bookmarkStart w:id="37" w:name="_Toc452024161"/>
      <w:bookmarkStart w:id="38" w:name="_Toc267320052"/>
      <w:r>
        <w:rPr>
          <w:rFonts w:hint="eastAsia" w:ascii="方正仿宋_GBK" w:hAnsi="宋体" w:eastAsia="方正仿宋_GBK" w:cs="宋体"/>
          <w:color w:val="auto"/>
          <w:kern w:val="0"/>
          <w:sz w:val="24"/>
          <w:szCs w:val="24"/>
          <w:highlight w:val="none"/>
        </w:rPr>
        <w:t>（一）合同签订后，进场后30日内支付总监理费的20%；</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（二）工程开工后按月进行结算，按每月占监理服务期的比例的60%支付监理服务费；</w:t>
      </w:r>
    </w:p>
    <w:p>
      <w:pPr>
        <w:snapToGrid w:val="0"/>
        <w:spacing w:line="400" w:lineRule="exact"/>
        <w:ind w:firstLine="480" w:firstLineChars="200"/>
        <w:rPr>
          <w:color w:val="auto"/>
          <w:highlight w:val="none"/>
        </w:rPr>
      </w:pPr>
      <w:r>
        <w:rPr>
          <w:rFonts w:hint="eastAsia" w:ascii="方正仿宋_GBK" w:hAnsi="宋体" w:eastAsia="方正仿宋_GBK" w:cs="宋体"/>
          <w:color w:val="auto"/>
          <w:kern w:val="0"/>
          <w:sz w:val="24"/>
          <w:szCs w:val="24"/>
          <w:highlight w:val="none"/>
        </w:rPr>
        <w:t>（三）工程竣工结算审计后支付到监理费总额的97%，余款作为工程保修金，在质量缺陷期</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2年</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满后，采购人无息支付给成交供应商。</w:t>
      </w:r>
    </w:p>
    <w:p>
      <w:pPr>
        <w:pStyle w:val="4"/>
        <w:spacing w:line="500" w:lineRule="exact"/>
        <w:ind w:firstLine="480" w:firstLineChars="200"/>
        <w:rPr>
          <w:rFonts w:ascii="方正仿宋_GBK" w:eastAsia="方正仿宋_GBK"/>
          <w:b/>
          <w:color w:val="auto"/>
          <w:sz w:val="24"/>
          <w:szCs w:val="24"/>
          <w:highlight w:val="none"/>
        </w:rPr>
      </w:pPr>
      <w:r>
        <w:rPr>
          <w:rFonts w:hint="eastAsia" w:ascii="方正仿宋_GBK" w:eastAsia="方正仿宋_GBK"/>
          <w:b/>
          <w:color w:val="auto"/>
          <w:sz w:val="24"/>
          <w:szCs w:val="24"/>
          <w:highlight w:val="none"/>
        </w:rPr>
        <w:t>四、履约保证金</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履约保证金递交形式：银行转账。</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履约保证金金额：合同价的8%。</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提交时间:成交通知书发出后10个工作日内，且在签订服务合同之前。</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履约担保的退还：服务期结束且工程竣工验收合格后三十个工作日内无息退还。</w:t>
      </w:r>
    </w:p>
    <w:p>
      <w:pPr>
        <w:snapToGrid w:val="0"/>
        <w:spacing w:line="400" w:lineRule="exact"/>
        <w:ind w:firstLine="480"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五、知识产权</w:t>
      </w:r>
      <w:bookmarkEnd w:id="37"/>
      <w:bookmarkEnd w:id="38"/>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4"/>
        <w:spacing w:line="400" w:lineRule="exact"/>
        <w:ind w:firstLine="480" w:firstLineChars="200"/>
        <w:rPr>
          <w:rFonts w:ascii="方正仿宋_GBK" w:eastAsia="方正仿宋_GBK"/>
          <w:b/>
          <w:color w:val="auto"/>
          <w:sz w:val="24"/>
          <w:szCs w:val="24"/>
          <w:highlight w:val="none"/>
        </w:rPr>
      </w:pPr>
      <w:bookmarkStart w:id="39" w:name="_Toc452024162"/>
      <w:bookmarkStart w:id="40" w:name="_Toc267320053"/>
      <w:r>
        <w:rPr>
          <w:rFonts w:hint="eastAsia" w:ascii="方正仿宋_GBK" w:eastAsia="方正仿宋_GBK"/>
          <w:b/>
          <w:color w:val="auto"/>
          <w:sz w:val="24"/>
          <w:szCs w:val="24"/>
          <w:highlight w:val="none"/>
        </w:rPr>
        <w:t>六、培训</w:t>
      </w:r>
      <w:bookmarkEnd w:id="39"/>
      <w:bookmarkEnd w:id="40"/>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供应商对其提供产品的使用和操作应尽培训义务。供应商应提供对采购人的基本免费培训，使采购人使用人员能够正常操作。</w:t>
      </w:r>
    </w:p>
    <w:p>
      <w:pPr>
        <w:pStyle w:val="4"/>
        <w:spacing w:line="400" w:lineRule="exact"/>
        <w:ind w:firstLine="480" w:firstLineChars="200"/>
        <w:rPr>
          <w:rFonts w:ascii="方正仿宋_GBK" w:eastAsia="方正仿宋_GBK"/>
          <w:b/>
          <w:color w:val="auto"/>
          <w:sz w:val="24"/>
          <w:szCs w:val="24"/>
          <w:highlight w:val="none"/>
        </w:rPr>
      </w:pPr>
      <w:bookmarkStart w:id="41" w:name="_Toc452024163"/>
      <w:bookmarkStart w:id="42" w:name="_Toc267320054"/>
      <w:r>
        <w:rPr>
          <w:rFonts w:hint="eastAsia" w:ascii="方正仿宋_GBK" w:eastAsia="方正仿宋_GBK"/>
          <w:b/>
          <w:color w:val="auto"/>
          <w:sz w:val="24"/>
          <w:szCs w:val="24"/>
          <w:highlight w:val="none"/>
        </w:rPr>
        <w:t>七、其他</w:t>
      </w:r>
      <w:bookmarkEnd w:id="41"/>
      <w:bookmarkEnd w:id="42"/>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（一）供应商必须在响应文件中对以上条款和服务承诺明确列出，承诺内容必须达到本篇及竞争性磋商文件其他条款的要求。</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（二）其他未尽事宜由供需双方在采购合同中详细约定。</w:t>
      </w:r>
    </w:p>
    <w:p>
      <w:pPr>
        <w:pStyle w:val="3"/>
        <w:spacing w:beforeLines="0" w:afterLines="0" w:line="240" w:lineRule="auto"/>
        <w:rPr>
          <w:rFonts w:ascii="方正小标宋_GBK" w:eastAsia="方正小标宋_GBK"/>
          <w:color w:val="auto"/>
          <w:highlight w:val="none"/>
        </w:rPr>
      </w:pPr>
      <w:r>
        <w:rPr>
          <w:rFonts w:eastAsia="宋体"/>
          <w:color w:val="auto"/>
          <w:sz w:val="28"/>
          <w:highlight w:val="none"/>
        </w:rPr>
        <w:br w:type="page"/>
      </w:r>
      <w:bookmarkStart w:id="43" w:name="_Toc452024164"/>
      <w:bookmarkStart w:id="44" w:name="_Toc14385"/>
      <w:bookmarkStart w:id="45" w:name="_Toc15150"/>
      <w:bookmarkStart w:id="46" w:name="_Toc25868_WPSOffice_Level1"/>
      <w:r>
        <w:rPr>
          <w:rFonts w:hint="eastAsia" w:ascii="方正小标宋_GBK" w:eastAsia="方正小标宋_GBK"/>
          <w:color w:val="auto"/>
          <w:highlight w:val="none"/>
        </w:rPr>
        <w:t>第四篇  评标方法、评标标准、无效投标条款和废标条款</w:t>
      </w:r>
      <w:bookmarkEnd w:id="43"/>
      <w:bookmarkEnd w:id="44"/>
      <w:bookmarkEnd w:id="45"/>
      <w:bookmarkEnd w:id="46"/>
    </w:p>
    <w:p>
      <w:pPr>
        <w:pStyle w:val="4"/>
        <w:spacing w:line="400" w:lineRule="exact"/>
        <w:ind w:firstLine="480" w:firstLineChars="200"/>
        <w:rPr>
          <w:rFonts w:ascii="方正仿宋_GBK" w:eastAsia="方正仿宋_GBK"/>
          <w:b/>
          <w:color w:val="auto"/>
          <w:sz w:val="24"/>
          <w:szCs w:val="24"/>
          <w:highlight w:val="none"/>
        </w:rPr>
      </w:pPr>
      <w:bookmarkStart w:id="47" w:name="_Toc452024165"/>
      <w:r>
        <w:rPr>
          <w:rFonts w:hint="eastAsia" w:ascii="方正仿宋_GBK" w:eastAsia="方正仿宋_GBK"/>
          <w:b/>
          <w:color w:val="auto"/>
          <w:sz w:val="24"/>
          <w:szCs w:val="24"/>
          <w:highlight w:val="none"/>
        </w:rPr>
        <w:t>一、磋商方法</w:t>
      </w:r>
      <w:bookmarkEnd w:id="47"/>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（一）磋商方法定义</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b/>
          <w:color w:val="auto"/>
          <w:kern w:val="0"/>
          <w:sz w:val="24"/>
          <w:szCs w:val="24"/>
          <w:highlight w:val="none"/>
        </w:rPr>
        <w:t>综合评分法：</w:t>
      </w:r>
      <w:r>
        <w:rPr>
          <w:rFonts w:hint="eastAsia" w:ascii="方正仿宋_GBK" w:hAnsi="宋体" w:eastAsia="方正仿宋_GBK" w:cs="宋体"/>
          <w:color w:val="auto"/>
          <w:kern w:val="0"/>
          <w:sz w:val="24"/>
          <w:szCs w:val="24"/>
          <w:highlight w:val="none"/>
        </w:rPr>
        <w:t>本项目采用综合评分法进行评标。综合评分法，是指响应文件</w:t>
      </w:r>
      <w:r>
        <w:rPr>
          <w:rFonts w:ascii="方正仿宋_GBK" w:hAnsi="宋体" w:eastAsia="方正仿宋_GBK" w:cs="宋体"/>
          <w:color w:val="auto"/>
          <w:kern w:val="0"/>
          <w:sz w:val="24"/>
          <w:szCs w:val="24"/>
          <w:highlight w:val="none"/>
        </w:rPr>
        <w:t>满足</w:t>
      </w:r>
      <w:r>
        <w:rPr>
          <w:rFonts w:hint="eastAsia" w:ascii="方正仿宋_GBK" w:hAnsi="宋体" w:eastAsia="方正仿宋_GBK" w:cs="宋体"/>
          <w:color w:val="auto"/>
          <w:kern w:val="0"/>
          <w:sz w:val="24"/>
          <w:szCs w:val="24"/>
          <w:highlight w:val="none"/>
        </w:rPr>
        <w:t>竞争性磋商文件</w:t>
      </w:r>
      <w:r>
        <w:rPr>
          <w:rFonts w:ascii="方正仿宋_GBK" w:hAnsi="宋体" w:eastAsia="方正仿宋_GBK" w:cs="宋体"/>
          <w:color w:val="auto"/>
          <w:kern w:val="0"/>
          <w:sz w:val="24"/>
          <w:szCs w:val="24"/>
          <w:highlight w:val="none"/>
        </w:rPr>
        <w:t>全部实质性要求且按照评审因素的量化指标评审得分最高的供应商为</w:t>
      </w:r>
      <w:r>
        <w:rPr>
          <w:rFonts w:hint="eastAsia" w:ascii="方正仿宋_GBK" w:hAnsi="宋体" w:eastAsia="方正仿宋_GBK" w:cs="宋体"/>
          <w:color w:val="auto"/>
          <w:kern w:val="0"/>
          <w:sz w:val="24"/>
          <w:szCs w:val="24"/>
          <w:highlight w:val="none"/>
          <w:lang w:eastAsia="zh-CN"/>
        </w:rPr>
        <w:t>成交候选人</w:t>
      </w:r>
      <w:r>
        <w:rPr>
          <w:rFonts w:ascii="方正仿宋_GBK" w:hAnsi="宋体" w:eastAsia="方正仿宋_GBK" w:cs="宋体"/>
          <w:color w:val="auto"/>
          <w:kern w:val="0"/>
          <w:sz w:val="24"/>
          <w:szCs w:val="24"/>
          <w:highlight w:val="none"/>
        </w:rPr>
        <w:t>的评标方法</w:t>
      </w:r>
      <w:r>
        <w:rPr>
          <w:rFonts w:hint="eastAsia" w:ascii="方正仿宋_GBK" w:hAnsi="宋体" w:eastAsia="方正仿宋_GBK" w:cs="宋体"/>
          <w:color w:val="auto"/>
          <w:kern w:val="0"/>
          <w:sz w:val="24"/>
          <w:szCs w:val="24"/>
          <w:highlight w:val="none"/>
        </w:rPr>
        <w:t>。供应商总得分为价格、商务、技术等评定因素分别按照相应权重值计算分项得分后相加，满分为100分。</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（二）磋商程序</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磋商工作由采购代理机构负责组织，具体磋商事务由采购代理机构依法组建的磋商小组负责。</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磋商小组成员到位后，推举其中一位评审专家担任评审组长，并由评审组长牵头组织该项目评审工作。磋商小组按以下程序独立履行评审职责：</w:t>
      </w:r>
    </w:p>
    <w:p>
      <w:pPr>
        <w:snapToGrid w:val="0"/>
        <w:spacing w:line="380" w:lineRule="exact"/>
        <w:ind w:firstLine="480" w:firstLineChars="200"/>
        <w:rPr>
          <w:rFonts w:ascii="宋体" w:hAnsi="宋体"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1、资格性检查。依据法律法规和竞争性磋商文件的规定，对响应文件中的资格证明、投标保证金等进行审查，以确定供应商是否具备磋商资格。资格性检查资料表如下：</w:t>
      </w:r>
    </w:p>
    <w:tbl>
      <w:tblPr>
        <w:tblStyle w:val="65"/>
        <w:tblW w:w="979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21"/>
        <w:gridCol w:w="2138"/>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46" w:type="dxa"/>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序号</w:t>
            </w:r>
          </w:p>
        </w:tc>
        <w:tc>
          <w:tcPr>
            <w:tcW w:w="2559" w:type="dxa"/>
            <w:gridSpan w:val="2"/>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检查因素</w:t>
            </w:r>
          </w:p>
        </w:tc>
        <w:tc>
          <w:tcPr>
            <w:tcW w:w="6393" w:type="dxa"/>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6" w:type="dxa"/>
            <w:vMerge w:val="restart"/>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w:t>
            </w:r>
          </w:p>
        </w:tc>
        <w:tc>
          <w:tcPr>
            <w:tcW w:w="421" w:type="dxa"/>
            <w:vMerge w:val="restart"/>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rPr>
              <w:t>供应商</w:t>
            </w:r>
            <w:r>
              <w:rPr>
                <w:rFonts w:hint="eastAsia" w:ascii="方正仿宋_GBK" w:hAnsi="宋体" w:eastAsia="方正仿宋_GBK" w:cs="宋体"/>
                <w:color w:val="auto"/>
                <w:kern w:val="0"/>
                <w:sz w:val="24"/>
                <w:szCs w:val="24"/>
                <w:highlight w:val="none"/>
                <w:lang w:val="zh-CN"/>
              </w:rPr>
              <w:t>应符合的基本资格条件</w:t>
            </w: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（1）具有独立承担民事责任的能力</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1、供应商法人营业执照（副本）或事业单位法人证书（副本）、组织机构代码证复印件加盖供应商单位公章（注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 1 \* GB3 </w:instrText>
            </w:r>
            <w:r>
              <w:rPr>
                <w:rFonts w:hint="eastAsia" w:ascii="方正仿宋_GBK" w:hAnsi="宋体" w:eastAsia="方正仿宋_GBK" w:cs="宋体"/>
                <w:color w:val="auto"/>
                <w:kern w:val="0"/>
                <w:sz w:val="24"/>
                <w:szCs w:val="24"/>
                <w:highlight w:val="none"/>
              </w:rPr>
              <w:fldChar w:fldCharType="separate"/>
            </w:r>
            <w:r>
              <w:rPr>
                <w:rFonts w:hint="eastAsia" w:ascii="方正仿宋_GBK" w:hAnsi="宋体" w:eastAsia="方正仿宋_GBK" w:cs="宋体"/>
                <w:color w:val="auto"/>
                <w:kern w:val="0"/>
                <w:sz w:val="24"/>
                <w:szCs w:val="24"/>
                <w:highlight w:val="none"/>
              </w:rPr>
              <w:t>①</w: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2、供应商法定代表人身份证明加盖供应商单位公章和法定代表人授权代表委托书原件。不具有独立法人的分公司、办事处等分支机构不能参加本次磋商。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p>
        </w:tc>
        <w:tc>
          <w:tcPr>
            <w:tcW w:w="421"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zh-CN"/>
              </w:rPr>
              <w:t>（2）</w:t>
            </w:r>
            <w:r>
              <w:rPr>
                <w:rFonts w:hint="eastAsia" w:ascii="方正仿宋_GBK" w:hAnsi="宋体" w:eastAsia="方正仿宋_GBK" w:cs="宋体"/>
                <w:color w:val="auto"/>
                <w:kern w:val="0"/>
                <w:sz w:val="24"/>
                <w:szCs w:val="24"/>
                <w:highlight w:val="none"/>
              </w:rPr>
              <w:t>具有良好的商业信誉和健全的财务会计制度</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1、提供201</w:t>
            </w:r>
            <w:r>
              <w:rPr>
                <w:rFonts w:hint="eastAsia" w:ascii="方正仿宋_GBK" w:hAnsi="宋体" w:eastAsia="方正仿宋_GBK" w:cs="宋体"/>
                <w:color w:val="auto"/>
                <w:kern w:val="0"/>
                <w:sz w:val="24"/>
                <w:szCs w:val="24"/>
                <w:highlight w:val="none"/>
                <w:lang w:val="en-US" w:eastAsia="zh-CN"/>
              </w:rPr>
              <w:t>7</w:t>
            </w:r>
            <w:r>
              <w:rPr>
                <w:rFonts w:hint="eastAsia" w:ascii="方正仿宋_GBK" w:hAnsi="宋体" w:eastAsia="方正仿宋_GBK" w:cs="宋体"/>
                <w:color w:val="auto"/>
                <w:kern w:val="0"/>
                <w:sz w:val="24"/>
                <w:szCs w:val="24"/>
                <w:highlight w:val="none"/>
              </w:rPr>
              <w:t>年度财务状况报告（表）复印件并加盖供应商单位公章，本年度新成立的公司提供提交投标文件截止时间前一个月的财务状况报告（表）复印件并加盖供应商单位公章。（可用诚信声明代替）。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p>
        </w:tc>
        <w:tc>
          <w:tcPr>
            <w:tcW w:w="421"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lang w:val="zh-CN"/>
              </w:rPr>
              <w:t>（3）具有履行合同所必需的设备和专业技术能力</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p>
        </w:tc>
        <w:tc>
          <w:tcPr>
            <w:tcW w:w="421"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lang w:val="zh-CN"/>
              </w:rPr>
              <w:t>（4）有依法缴纳税收和社会保障金的良好记录</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1、税务登记证（副本）复印件加盖供应商单位公章（注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 1 \* GB3 </w:instrText>
            </w:r>
            <w:r>
              <w:rPr>
                <w:rFonts w:hint="eastAsia" w:ascii="方正仿宋_GBK" w:hAnsi="宋体" w:eastAsia="方正仿宋_GBK" w:cs="宋体"/>
                <w:color w:val="auto"/>
                <w:kern w:val="0"/>
                <w:sz w:val="24"/>
                <w:szCs w:val="24"/>
                <w:highlight w:val="none"/>
              </w:rPr>
              <w:fldChar w:fldCharType="separate"/>
            </w:r>
            <w:r>
              <w:rPr>
                <w:rFonts w:hint="eastAsia" w:ascii="方正仿宋_GBK" w:hAnsi="宋体" w:eastAsia="方正仿宋_GBK" w:cs="宋体"/>
                <w:color w:val="auto"/>
                <w:kern w:val="0"/>
                <w:sz w:val="24"/>
                <w:szCs w:val="24"/>
                <w:highlight w:val="none"/>
              </w:rPr>
              <w:t>①</w: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）和社会保险缴纳证明材料加盖供应商单位公章。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p>
        </w:tc>
        <w:tc>
          <w:tcPr>
            <w:tcW w:w="421"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rPr>
              <w:t>（5）参加政府采购活动前三年内，在经营活动中没有重大违法记录（注②）</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1、供应商提供书面声明（见格式文件）；</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2、供应商提供信用中国网站（www.creditchina.gov.cn）以下内容的查询结果网页打印件并加盖供应商公章。</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2.1“失信被执行人”查询结果；</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2.2“重大税收违法案件当事人名单”查询结果；</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2.3“政府采购严重违法失信名单”的查询结果。</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注：查询操作步骤见注③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p>
        </w:tc>
        <w:tc>
          <w:tcPr>
            <w:tcW w:w="421"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（6）法律、行政法规规定的其他条件</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由供应商自行提供（如有）。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w:t>
            </w:r>
          </w:p>
        </w:tc>
        <w:tc>
          <w:tcPr>
            <w:tcW w:w="2559" w:type="dxa"/>
            <w:gridSpan w:val="2"/>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特定资格条件</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按“第一篇  投标邀请书”中“（二）特定资格条件”的要求提交。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w:t>
            </w:r>
          </w:p>
        </w:tc>
        <w:tc>
          <w:tcPr>
            <w:tcW w:w="2559" w:type="dxa"/>
            <w:gridSpan w:val="2"/>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保证金</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保证金到账截止时间前足额缴纳投标保证金，且满足竞争性磋商文件第一篇“五、保证金”中的相关规定。</w:t>
            </w:r>
          </w:p>
        </w:tc>
      </w:tr>
    </w:tbl>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 1 \* GB3 </w:instrText>
      </w:r>
      <w:r>
        <w:rPr>
          <w:rFonts w:hint="eastAsia" w:ascii="方正仿宋_GBK" w:hAnsi="宋体" w:eastAsia="方正仿宋_GBK" w:cs="宋体"/>
          <w:color w:val="auto"/>
          <w:kern w:val="0"/>
          <w:sz w:val="24"/>
          <w:szCs w:val="24"/>
          <w:highlight w:val="none"/>
        </w:rPr>
        <w:fldChar w:fldCharType="separate"/>
      </w:r>
      <w:r>
        <w:rPr>
          <w:rFonts w:hint="eastAsia" w:ascii="方正仿宋_GBK" w:hAnsi="宋体" w:eastAsia="方正仿宋_GBK" w:cs="宋体"/>
          <w:color w:val="auto"/>
          <w:kern w:val="0"/>
          <w:sz w:val="24"/>
          <w:szCs w:val="24"/>
          <w:highlight w:val="none"/>
        </w:rPr>
        <w:t>①</w: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供应商按“三证合一”登记制度办理营业执照的，组织机构代码证和税务登记证（副本）以供应商所提供的营业执照（副本）复印件为准。</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 2 \* GB3 </w:instrText>
      </w:r>
      <w:r>
        <w:rPr>
          <w:rFonts w:hint="eastAsia" w:ascii="方正仿宋_GBK" w:hAnsi="宋体" w:eastAsia="方正仿宋_GBK" w:cs="宋体"/>
          <w:color w:val="auto"/>
          <w:kern w:val="0"/>
          <w:sz w:val="24"/>
          <w:szCs w:val="24"/>
          <w:highlight w:val="none"/>
        </w:rPr>
        <w:fldChar w:fldCharType="separate"/>
      </w:r>
      <w:r>
        <w:rPr>
          <w:rFonts w:hint="eastAsia" w:ascii="方正仿宋_GBK" w:hAnsi="宋体" w:eastAsia="方正仿宋_GBK" w:cs="宋体"/>
          <w:color w:val="auto"/>
          <w:kern w:val="0"/>
          <w:sz w:val="24"/>
          <w:szCs w:val="24"/>
          <w:highlight w:val="none"/>
        </w:rPr>
        <w:t>②</w: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③信用中国网查询内容操作步骤：信用中国网首页</w:t>
      </w:r>
      <w:r>
        <w:rPr>
          <w:rFonts w:hint="eastAsia" w:ascii="方正仿宋_GBK" w:hAnsi="宋体" w:eastAsia="方正仿宋_GBK" w:cs="宋体"/>
          <w:color w:val="auto"/>
          <w:kern w:val="0"/>
          <w:sz w:val="24"/>
          <w:szCs w:val="24"/>
          <w:highlight w:val="none"/>
        </w:rPr>
        <w:softHyphen/>
      </w:r>
      <w:r>
        <w:rPr>
          <w:rFonts w:hint="eastAsia" w:ascii="方正仿宋_GBK" w:hAnsi="宋体" w:eastAsia="方正仿宋_GBK" w:cs="宋体"/>
          <w:color w:val="auto"/>
          <w:kern w:val="0"/>
          <w:sz w:val="24"/>
          <w:szCs w:val="24"/>
          <w:highlight w:val="none"/>
        </w:rPr>
        <w:t>——输入供应商名称</w:t>
      </w:r>
      <w:r>
        <w:rPr>
          <w:rFonts w:hint="eastAsia" w:ascii="方正仿宋_GBK" w:hAnsi="宋体" w:eastAsia="方正仿宋_GBK" w:cs="宋体"/>
          <w:color w:val="auto"/>
          <w:kern w:val="0"/>
          <w:sz w:val="24"/>
          <w:szCs w:val="24"/>
          <w:highlight w:val="none"/>
        </w:rPr>
        <w:softHyphen/>
      </w:r>
      <w:r>
        <w:rPr>
          <w:rFonts w:hint="eastAsia" w:ascii="方正仿宋_GBK" w:hAnsi="宋体" w:eastAsia="方正仿宋_GBK" w:cs="宋体"/>
          <w:color w:val="auto"/>
          <w:kern w:val="0"/>
          <w:sz w:val="24"/>
          <w:szCs w:val="24"/>
          <w:highlight w:val="none"/>
        </w:rPr>
        <w:t>——选择所要查询的内容（1.1“失信被执行人”、1.2“重大税收违法案件当事人名单”、1.3“政府采购严重违法失信名单”）——打印查询结果加盖供应商单位公章（查询时间为本项目采购公告发布之日起至投标截止时间前，查询时间应在查询结果打印件上显示）</w:t>
      </w:r>
    </w:p>
    <w:p>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color w:val="auto"/>
          <w:kern w:val="0"/>
          <w:sz w:val="24"/>
          <w:szCs w:val="24"/>
          <w:highlight w:val="none"/>
        </w:rPr>
        <w:t>符合性检查资料表如下：</w:t>
      </w:r>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885"/>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445" w:type="dxa"/>
            <w:gridSpan w:val="2"/>
            <w:vAlign w:val="center"/>
          </w:tcPr>
          <w:p>
            <w:pPr>
              <w:spacing w:line="240" w:lineRule="exact"/>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508" w:type="dxa"/>
            <w:vAlign w:val="center"/>
          </w:tcPr>
          <w:p>
            <w:pPr>
              <w:spacing w:line="240" w:lineRule="exact"/>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675" w:type="dxa"/>
            <w:vMerge w:val="restart"/>
            <w:vAlign w:val="center"/>
          </w:tcPr>
          <w:p>
            <w:pPr>
              <w:spacing w:line="240" w:lineRule="exact"/>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885"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508"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ascii="方正仿宋_GBK" w:hAnsi="宋体" w:eastAsia="方正仿宋_GBK" w:cs="宋体"/>
                <w:color w:val="auto"/>
                <w:kern w:val="0"/>
                <w:sz w:val="21"/>
                <w:szCs w:val="21"/>
                <w:highlight w:val="none"/>
              </w:rPr>
            </w:pPr>
          </w:p>
        </w:tc>
        <w:tc>
          <w:tcPr>
            <w:tcW w:w="1885" w:type="dxa"/>
            <w:vAlign w:val="center"/>
          </w:tcPr>
          <w:p>
            <w:pPr>
              <w:spacing w:line="24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508" w:type="dxa"/>
            <w:vAlign w:val="center"/>
          </w:tcPr>
          <w:p>
            <w:pPr>
              <w:spacing w:line="24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ascii="方正仿宋_GBK" w:hAnsi="宋体" w:eastAsia="方正仿宋_GBK" w:cs="宋体"/>
                <w:color w:val="auto"/>
                <w:kern w:val="0"/>
                <w:sz w:val="21"/>
                <w:szCs w:val="21"/>
                <w:highlight w:val="none"/>
              </w:rPr>
            </w:pPr>
          </w:p>
        </w:tc>
        <w:tc>
          <w:tcPr>
            <w:tcW w:w="1885" w:type="dxa"/>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投标方案</w:t>
            </w:r>
          </w:p>
        </w:tc>
        <w:tc>
          <w:tcPr>
            <w:tcW w:w="5508"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ascii="方正仿宋_GBK" w:hAnsi="宋体" w:eastAsia="方正仿宋_GBK" w:cs="宋体"/>
                <w:color w:val="auto"/>
                <w:kern w:val="0"/>
                <w:sz w:val="21"/>
                <w:szCs w:val="21"/>
                <w:highlight w:val="none"/>
              </w:rPr>
            </w:pPr>
          </w:p>
        </w:tc>
        <w:tc>
          <w:tcPr>
            <w:tcW w:w="1885" w:type="dxa"/>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w:t>
            </w:r>
          </w:p>
        </w:tc>
        <w:tc>
          <w:tcPr>
            <w:tcW w:w="5508"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本次采购供应商可两次报价，如参加磋商的供应商在第一次报价中已标注为最终不变价则不再进行二次报价。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Merge w:val="restart"/>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885"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响应文件份数</w:t>
            </w:r>
          </w:p>
        </w:tc>
        <w:tc>
          <w:tcPr>
            <w:tcW w:w="5508"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ascii="方正仿宋_GBK" w:hAnsi="宋体" w:eastAsia="方正仿宋_GBK" w:cs="宋体"/>
                <w:color w:val="auto"/>
                <w:kern w:val="0"/>
                <w:sz w:val="21"/>
                <w:szCs w:val="21"/>
                <w:highlight w:val="none"/>
              </w:rPr>
            </w:pPr>
          </w:p>
        </w:tc>
        <w:tc>
          <w:tcPr>
            <w:tcW w:w="1885" w:type="dxa"/>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响应文件内容</w:t>
            </w:r>
          </w:p>
        </w:tc>
        <w:tc>
          <w:tcPr>
            <w:tcW w:w="5508" w:type="dxa"/>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rPr>
              <w:t>竞争性磋商文件的响应程度审查</w:t>
            </w:r>
          </w:p>
        </w:tc>
        <w:tc>
          <w:tcPr>
            <w:tcW w:w="1885"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508" w:type="dxa"/>
            <w:vAlign w:val="center"/>
          </w:tcPr>
          <w:p>
            <w:pPr>
              <w:pStyle w:val="34"/>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对竞争性磋商文件第二篇、第三篇规定的磋商内容作出响应。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ascii="方正仿宋_GBK" w:hAnsi="宋体" w:eastAsia="方正仿宋_GBK" w:cs="仿宋_GB2312"/>
                <w:color w:val="auto"/>
                <w:sz w:val="21"/>
                <w:szCs w:val="21"/>
                <w:highlight w:val="none"/>
                <w:lang w:val="zh-CN"/>
              </w:rPr>
            </w:pPr>
          </w:p>
        </w:tc>
        <w:tc>
          <w:tcPr>
            <w:tcW w:w="1885"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w:t>
            </w:r>
          </w:p>
        </w:tc>
        <w:tc>
          <w:tcPr>
            <w:tcW w:w="5508"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满足竞争性磋商文件</w:t>
            </w:r>
            <w:r>
              <w:rPr>
                <w:rFonts w:hint="eastAsia" w:ascii="方正仿宋_GBK" w:hAnsi="宋体" w:eastAsia="方正仿宋_GBK" w:cs="仿宋_GB2312"/>
                <w:color w:val="auto"/>
                <w:sz w:val="21"/>
                <w:szCs w:val="21"/>
                <w:highlight w:val="none"/>
                <w:lang w:val="zh-CN"/>
              </w:rPr>
              <w:t>规定。</w:t>
            </w:r>
          </w:p>
        </w:tc>
      </w:tr>
    </w:tbl>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澄清有关问题。对响应文件中含义不明确、同类问题表述不一致或者有明显文字和计算错误的内容，磋商小组可以书面形式（应当由磋商小组成员签字）要求供应商作出必要澄清、说明或者纠正。供应商的澄清、说明或者补正应当采用书面形式，由其法定代表人授权代表签字，其澄清的内容不得超出响应文件的范围或者改变响应文件的实质性内容。</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w:t>
      </w:r>
      <w:r>
        <w:rPr>
          <w:rFonts w:hint="eastAsia" w:ascii="方正仿宋_GBK" w:hAnsi="宋体" w:eastAsia="方正仿宋_GBK" w:cs="宋体"/>
          <w:color w:val="auto"/>
          <w:kern w:val="0"/>
          <w:sz w:val="24"/>
          <w:szCs w:val="24"/>
          <w:highlight w:val="none"/>
        </w:rPr>
        <w:t>磋商。各供应商只有在完全符合磋商要求的前提下，才能参与正式磋商。磋商小组所有成员集中与单一供应商分别进行磋商。在磋商中，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磋商的任何一方不得透露与磋商有关的其他供应商的技术资料、价格和其他信息。磋商文件有实质性变动的，磋商小组应当以书面形式通知所有参加磋商的供应商。磋商结束后，磋商小组要求所有参加正式磋商的供应商在规定时间内同时书面提交最后报价及有关承诺（填写《最后报价表》并密封提交），最后报价报总价，如有明细，则明</w:t>
      </w:r>
      <w:r>
        <w:rPr>
          <w:rFonts w:hint="eastAsia" w:ascii="方正仿宋_GBK" w:hAnsi="宋体" w:eastAsia="方正仿宋_GBK" w:cs="宋体"/>
          <w:color w:val="auto"/>
          <w:kern w:val="0"/>
          <w:sz w:val="24"/>
          <w:szCs w:val="24"/>
          <w:highlight w:val="none"/>
          <w:lang w:eastAsia="zh-CN"/>
        </w:rPr>
        <w:t>细</w:t>
      </w:r>
      <w:r>
        <w:rPr>
          <w:rFonts w:hint="eastAsia" w:ascii="方正仿宋_GBK" w:hAnsi="宋体" w:eastAsia="方正仿宋_GBK" w:cs="宋体"/>
          <w:color w:val="auto"/>
          <w:kern w:val="0"/>
          <w:sz w:val="24"/>
          <w:szCs w:val="24"/>
          <w:highlight w:val="none"/>
        </w:rPr>
        <w:t>报价按照总价下浮比例进行下浮。已提交响应文件但未在规定时间内进行最后报价的供应商，视为放弃最后报价，以供应商响应文件中的报价为准</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本次采购供应商可两次报价，第二次报价不得高于第一次报价，若供应商第二次报价高于第一次报价的，则第二次报价视为无效报价，以供应商第一次报价为最终报价。如参加磋商的供应商在第一次报价中已标注为最终不变价则不再进行二次报价。</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s="宋体"/>
          <w:color w:val="auto"/>
          <w:kern w:val="0"/>
          <w:sz w:val="24"/>
          <w:szCs w:val="24"/>
          <w:highlight w:val="none"/>
        </w:rPr>
        <w:t>5、</w:t>
      </w:r>
      <w:r>
        <w:rPr>
          <w:rFonts w:hint="eastAsia" w:ascii="方正仿宋_GBK" w:hAnsi="宋体" w:eastAsia="方正仿宋_GBK"/>
          <w:color w:val="auto"/>
          <w:sz w:val="24"/>
          <w:szCs w:val="24"/>
          <w:highlight w:val="none"/>
        </w:rPr>
        <w:t>比较与评价。按竞争性磋商文件中规定的评标方法和标准，对资格性检查和符合性检查合格的响应文件进行商务和技术评估。若同一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为单一品目的货物采购招标中，同一品牌同一型号产品有多家供应商参加投标，只能按照一家供应商计算。评标中在其他条件（资格性检查、符合性检查）合格的前提下，选取报价最低的供应商进入评标，舍掉其他供应商。</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磋商小组各成员独立对每个有效供应商的响应文件进行评价、打分，然后由评审组长组织磋商小组对各成员打分情况进行核查及复核，个别成员对同一供应商同一评分项的打分偏离较大的，应对供应商的响应文件进行再次核对，确属打分有误的，应及时进行修正。</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s="宋体"/>
          <w:color w:val="auto"/>
          <w:kern w:val="0"/>
          <w:sz w:val="24"/>
          <w:szCs w:val="24"/>
          <w:highlight w:val="none"/>
        </w:rPr>
        <w:t>复核后，磋商小组汇总每个供应商每项评分因素的得分。</w:t>
      </w:r>
    </w:p>
    <w:p>
      <w:pPr>
        <w:numPr>
          <w:ilvl w:val="0"/>
          <w:numId w:val="3"/>
        </w:num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推荐</w:t>
      </w:r>
      <w:r>
        <w:rPr>
          <w:rFonts w:hint="eastAsia" w:ascii="方正仿宋_GBK" w:hAnsi="宋体" w:eastAsia="方正仿宋_GBK"/>
          <w:color w:val="auto"/>
          <w:sz w:val="24"/>
          <w:szCs w:val="24"/>
          <w:highlight w:val="none"/>
          <w:lang w:eastAsia="zh-CN"/>
        </w:rPr>
        <w:t>成交候选人</w:t>
      </w:r>
      <w:r>
        <w:rPr>
          <w:rFonts w:hint="eastAsia" w:ascii="方正仿宋_GBK" w:hAnsi="宋体" w:eastAsia="方正仿宋_GBK"/>
          <w:color w:val="auto"/>
          <w:sz w:val="24"/>
          <w:szCs w:val="24"/>
          <w:highlight w:val="none"/>
        </w:rPr>
        <w:t>名单。按评审后得分由高到低的排列顺序</w:t>
      </w:r>
      <w:r>
        <w:rPr>
          <w:rFonts w:hint="eastAsia" w:ascii="方正仿宋_GBK" w:hAnsi="宋体" w:eastAsia="方正仿宋_GBK" w:cs="宋体"/>
          <w:color w:val="auto"/>
          <w:kern w:val="0"/>
          <w:sz w:val="24"/>
          <w:szCs w:val="24"/>
          <w:highlight w:val="none"/>
        </w:rPr>
        <w:t>推荐综合得分排名前三的供应商为本分包（项目）</w:t>
      </w:r>
      <w:r>
        <w:rPr>
          <w:rFonts w:hint="eastAsia" w:ascii="方正仿宋_GBK" w:hAnsi="宋体" w:eastAsia="方正仿宋_GBK" w:cs="宋体"/>
          <w:color w:val="auto"/>
          <w:kern w:val="0"/>
          <w:sz w:val="24"/>
          <w:szCs w:val="24"/>
          <w:highlight w:val="none"/>
          <w:lang w:eastAsia="zh-CN"/>
        </w:rPr>
        <w:t>成交候选人</w:t>
      </w:r>
      <w:r>
        <w:rPr>
          <w:rFonts w:hint="eastAsia" w:ascii="方正仿宋_GBK" w:hAnsi="宋体" w:eastAsia="方正仿宋_GBK" w:cs="宋体"/>
          <w:color w:val="auto"/>
          <w:kern w:val="0"/>
          <w:sz w:val="24"/>
          <w:szCs w:val="24"/>
          <w:highlight w:val="none"/>
        </w:rPr>
        <w:t>，</w:t>
      </w:r>
      <w:r>
        <w:rPr>
          <w:rFonts w:hint="eastAsia" w:ascii="方正仿宋_GBK" w:hAnsi="宋体" w:eastAsia="方正仿宋_GBK"/>
          <w:color w:val="auto"/>
          <w:sz w:val="24"/>
          <w:szCs w:val="24"/>
          <w:highlight w:val="none"/>
        </w:rPr>
        <w:t>排名第一的为第一</w:t>
      </w:r>
      <w:r>
        <w:rPr>
          <w:rFonts w:hint="eastAsia" w:ascii="方正仿宋_GBK" w:hAnsi="宋体" w:eastAsia="方正仿宋_GBK"/>
          <w:color w:val="auto"/>
          <w:sz w:val="24"/>
          <w:szCs w:val="24"/>
          <w:highlight w:val="none"/>
          <w:lang w:eastAsia="zh-CN"/>
        </w:rPr>
        <w:t>成交候选人</w:t>
      </w:r>
      <w:r>
        <w:rPr>
          <w:rFonts w:hint="eastAsia" w:ascii="方正仿宋_GBK" w:hAnsi="宋体" w:eastAsia="方正仿宋_GBK"/>
          <w:color w:val="auto"/>
          <w:sz w:val="24"/>
          <w:szCs w:val="24"/>
          <w:highlight w:val="none"/>
        </w:rPr>
        <w:t>。若综合得分相同的，按投标报价由低到高顺序排列；若综合得分且投标报价相同的，按技术指标优劣顺序排列；若综合得分、投标报价、技术指标均相同的，按商务部分的优劣顺序排列。</w:t>
      </w:r>
      <w:r>
        <w:rPr>
          <w:rFonts w:hint="eastAsia" w:ascii="方正仿宋_GBK" w:hAnsi="宋体" w:eastAsia="方正仿宋_GBK"/>
          <w:color w:val="auto"/>
          <w:sz w:val="24"/>
          <w:szCs w:val="24"/>
          <w:highlight w:val="none"/>
          <w:lang w:eastAsia="zh-CN"/>
        </w:rPr>
        <w:t>若经磋商小组评审，合格供应商少于</w:t>
      </w:r>
      <w:r>
        <w:rPr>
          <w:rFonts w:hint="eastAsia" w:ascii="方正仿宋_GBK" w:hAnsi="宋体" w:eastAsia="方正仿宋_GBK"/>
          <w:color w:val="auto"/>
          <w:sz w:val="24"/>
          <w:szCs w:val="24"/>
          <w:highlight w:val="none"/>
          <w:lang w:val="en-US" w:eastAsia="zh-CN"/>
        </w:rPr>
        <w:t>3家的，磋商小组继续评审并依照评审办法提出1名及以上的成交候选人。</w:t>
      </w:r>
      <w:r>
        <w:rPr>
          <w:rFonts w:hint="eastAsia" w:ascii="方正仿宋_GBK" w:hAnsi="宋体" w:eastAsia="方正仿宋_GBK"/>
          <w:color w:val="auto"/>
          <w:sz w:val="24"/>
          <w:szCs w:val="24"/>
          <w:highlight w:val="none"/>
        </w:rPr>
        <w:t>监理大纲得分为0分的供应商，将失去成为</w:t>
      </w:r>
      <w:r>
        <w:rPr>
          <w:rFonts w:hint="eastAsia" w:ascii="方正仿宋_GBK" w:hAnsi="宋体" w:eastAsia="方正仿宋_GBK"/>
          <w:color w:val="auto"/>
          <w:sz w:val="24"/>
          <w:szCs w:val="24"/>
          <w:highlight w:val="none"/>
          <w:lang w:eastAsia="zh-CN"/>
        </w:rPr>
        <w:t>成交候选人</w:t>
      </w:r>
      <w:r>
        <w:rPr>
          <w:rFonts w:hint="eastAsia" w:ascii="方正仿宋_GBK" w:hAnsi="宋体" w:eastAsia="方正仿宋_GBK"/>
          <w:color w:val="auto"/>
          <w:sz w:val="24"/>
          <w:szCs w:val="24"/>
          <w:highlight w:val="none"/>
        </w:rPr>
        <w:t>的资格。</w:t>
      </w:r>
    </w:p>
    <w:p>
      <w:pPr>
        <w:pStyle w:val="4"/>
        <w:spacing w:line="400" w:lineRule="exact"/>
        <w:ind w:firstLine="480" w:firstLineChars="200"/>
        <w:rPr>
          <w:rFonts w:ascii="方正仿宋_GBK" w:eastAsia="方正仿宋_GBK"/>
          <w:color w:val="auto"/>
          <w:sz w:val="24"/>
          <w:szCs w:val="24"/>
          <w:highlight w:val="none"/>
        </w:rPr>
      </w:pPr>
      <w:bookmarkStart w:id="48" w:name="_Toc267320057"/>
      <w:bookmarkStart w:id="49" w:name="_Toc452024166"/>
      <w:r>
        <w:rPr>
          <w:rFonts w:hint="eastAsia" w:ascii="方正仿宋_GBK" w:eastAsia="方正仿宋_GBK"/>
          <w:color w:val="auto"/>
          <w:sz w:val="24"/>
          <w:szCs w:val="24"/>
          <w:highlight w:val="none"/>
        </w:rPr>
        <w:t>二、评标标准</w:t>
      </w:r>
      <w:bookmarkEnd w:id="48"/>
      <w:bookmarkEnd w:id="49"/>
    </w:p>
    <w:p>
      <w:pPr>
        <w:spacing w:line="340" w:lineRule="exact"/>
        <w:rPr>
          <w:rFonts w:ascii="宋体" w:hAnsi="宋体"/>
          <w:b/>
          <w:bCs/>
          <w:color w:val="auto"/>
          <w:szCs w:val="28"/>
          <w:highlight w:val="none"/>
        </w:rPr>
      </w:pPr>
      <w:bookmarkStart w:id="50" w:name="_Toc452024167"/>
    </w:p>
    <w:tbl>
      <w:tblPr>
        <w:tblStyle w:val="65"/>
        <w:tblW w:w="9553"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69"/>
        <w:gridCol w:w="951"/>
        <w:gridCol w:w="405"/>
        <w:gridCol w:w="450"/>
        <w:gridCol w:w="361"/>
        <w:gridCol w:w="2759"/>
        <w:gridCol w:w="1710"/>
        <w:gridCol w:w="1455"/>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Align w:val="center"/>
          </w:tcPr>
          <w:p>
            <w:pPr>
              <w:spacing w:line="240" w:lineRule="atLeas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1356" w:type="dxa"/>
            <w:gridSpan w:val="2"/>
            <w:vAlign w:val="center"/>
          </w:tcPr>
          <w:p>
            <w:pPr>
              <w:spacing w:line="240" w:lineRule="atLeas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评分因素</w:t>
            </w:r>
          </w:p>
          <w:p>
            <w:pPr>
              <w:spacing w:line="240" w:lineRule="atLeas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及权重</w:t>
            </w:r>
          </w:p>
        </w:tc>
        <w:tc>
          <w:tcPr>
            <w:tcW w:w="811" w:type="dxa"/>
            <w:gridSpan w:val="2"/>
            <w:vAlign w:val="center"/>
          </w:tcPr>
          <w:p>
            <w:pPr>
              <w:spacing w:line="240" w:lineRule="atLeas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分值</w:t>
            </w:r>
          </w:p>
        </w:tc>
        <w:tc>
          <w:tcPr>
            <w:tcW w:w="5924" w:type="dxa"/>
            <w:gridSpan w:val="3"/>
            <w:vAlign w:val="center"/>
          </w:tcPr>
          <w:p>
            <w:pPr>
              <w:spacing w:line="240" w:lineRule="atLeas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lang w:val="en-US" w:eastAsia="zh-CN"/>
              </w:rPr>
              <w:t xml:space="preserve"> </w:t>
            </w:r>
            <w:r>
              <w:rPr>
                <w:rFonts w:hint="eastAsia" w:ascii="方正仿宋_GBK" w:hAnsi="宋体" w:eastAsia="方正仿宋_GBK"/>
                <w:b/>
                <w:color w:val="auto"/>
                <w:sz w:val="21"/>
                <w:szCs w:val="21"/>
                <w:highlight w:val="none"/>
              </w:rPr>
              <w:t>评分标准</w:t>
            </w:r>
          </w:p>
        </w:tc>
        <w:tc>
          <w:tcPr>
            <w:tcW w:w="1029" w:type="dxa"/>
            <w:vAlign w:val="center"/>
          </w:tcPr>
          <w:p>
            <w:pPr>
              <w:pStyle w:val="170"/>
              <w:spacing w:before="0" w:after="0"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433" w:type="dxa"/>
            <w:gridSpan w:val="2"/>
            <w:vAlign w:val="center"/>
          </w:tcPr>
          <w:p>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1356" w:type="dxa"/>
            <w:gridSpan w:val="2"/>
            <w:vAlign w:val="center"/>
          </w:tcPr>
          <w:p>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投标报价</w:t>
            </w:r>
          </w:p>
          <w:p>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r>
              <w:rPr>
                <w:rFonts w:ascii="方正仿宋_GBK" w:hAnsi="宋体" w:eastAsia="方正仿宋_GBK"/>
                <w:color w:val="auto"/>
                <w:sz w:val="21"/>
                <w:szCs w:val="21"/>
                <w:highlight w:val="none"/>
              </w:rPr>
              <w:t>40</w:t>
            </w:r>
            <w:r>
              <w:rPr>
                <w:rFonts w:hint="eastAsia" w:ascii="方正仿宋_GBK" w:hAnsi="宋体" w:eastAsia="方正仿宋_GBK"/>
                <w:color w:val="auto"/>
                <w:sz w:val="21"/>
                <w:szCs w:val="21"/>
                <w:highlight w:val="none"/>
              </w:rPr>
              <w:t>%）</w:t>
            </w:r>
          </w:p>
        </w:tc>
        <w:tc>
          <w:tcPr>
            <w:tcW w:w="811" w:type="dxa"/>
            <w:gridSpan w:val="2"/>
            <w:vAlign w:val="center"/>
          </w:tcPr>
          <w:p>
            <w:pPr>
              <w:spacing w:line="240" w:lineRule="atLeast"/>
              <w:ind w:firstLine="28"/>
              <w:jc w:val="center"/>
              <w:rPr>
                <w:rFonts w:ascii="方正仿宋_GBK" w:hAnsi="宋体" w:eastAsia="方正仿宋_GBK"/>
                <w:color w:val="auto"/>
                <w:sz w:val="21"/>
                <w:szCs w:val="21"/>
                <w:highlight w:val="none"/>
              </w:rPr>
            </w:pPr>
            <w:r>
              <w:rPr>
                <w:rFonts w:ascii="方正仿宋_GBK" w:hAnsi="宋体" w:eastAsia="方正仿宋_GBK"/>
                <w:color w:val="auto"/>
                <w:sz w:val="21"/>
                <w:szCs w:val="21"/>
                <w:highlight w:val="none"/>
              </w:rPr>
              <w:t>40</w:t>
            </w:r>
          </w:p>
        </w:tc>
        <w:tc>
          <w:tcPr>
            <w:tcW w:w="5924"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1、</w:t>
            </w:r>
            <w:r>
              <w:rPr>
                <w:rFonts w:hint="eastAsia" w:ascii="方正仿宋_GBK" w:hAnsi="宋体" w:eastAsia="方正仿宋_GBK"/>
                <w:color w:val="auto"/>
                <w:sz w:val="21"/>
                <w:szCs w:val="21"/>
                <w:highlight w:val="none"/>
              </w:rPr>
              <w:t>评标基准价：所有通过初步评审合格的</w:t>
            </w:r>
            <w:r>
              <w:rPr>
                <w:rFonts w:hint="eastAsia" w:ascii="方正仿宋_GBK" w:hAnsi="宋体" w:eastAsia="方正仿宋_GBK"/>
                <w:color w:val="auto"/>
                <w:sz w:val="21"/>
                <w:szCs w:val="21"/>
                <w:highlight w:val="none"/>
                <w:lang w:eastAsia="zh-CN"/>
              </w:rPr>
              <w:t>供应商</w:t>
            </w:r>
            <w:r>
              <w:rPr>
                <w:rFonts w:hint="eastAsia"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eastAsia="zh-CN"/>
              </w:rPr>
              <w:t>采购人</w:t>
            </w:r>
            <w:r>
              <w:rPr>
                <w:rFonts w:hint="eastAsia" w:ascii="方正仿宋_GBK" w:hAnsi="宋体" w:eastAsia="方正仿宋_GBK"/>
                <w:color w:val="auto"/>
                <w:sz w:val="21"/>
                <w:szCs w:val="21"/>
                <w:highlight w:val="none"/>
              </w:rPr>
              <w:t>设有最高限价的，则投标总报价高于最高限价的除外）的投标</w:t>
            </w:r>
            <w:r>
              <w:rPr>
                <w:rFonts w:hint="eastAsia" w:ascii="方正仿宋_GBK" w:hAnsi="宋体" w:eastAsia="方正仿宋_GBK"/>
                <w:color w:val="auto"/>
                <w:sz w:val="21"/>
                <w:szCs w:val="21"/>
                <w:highlight w:val="none"/>
                <w:lang w:eastAsia="zh-CN"/>
              </w:rPr>
              <w:t>总</w:t>
            </w:r>
            <w:r>
              <w:rPr>
                <w:rFonts w:hint="eastAsia" w:ascii="方正仿宋_GBK" w:hAnsi="宋体" w:eastAsia="方正仿宋_GBK"/>
                <w:color w:val="auto"/>
                <w:sz w:val="21"/>
                <w:szCs w:val="21"/>
                <w:highlight w:val="none"/>
              </w:rPr>
              <w:t>报价</w:t>
            </w:r>
            <w:r>
              <w:rPr>
                <w:rFonts w:hint="eastAsia" w:ascii="方正仿宋_GBK" w:hAnsi="宋体" w:eastAsia="方正仿宋_GBK"/>
                <w:color w:val="auto"/>
                <w:sz w:val="21"/>
                <w:szCs w:val="21"/>
                <w:highlight w:val="none"/>
                <w:lang w:eastAsia="zh-CN"/>
              </w:rPr>
              <w:t>（以最终报价为准）</w:t>
            </w:r>
            <w:r>
              <w:rPr>
                <w:rFonts w:hint="eastAsia" w:ascii="方正仿宋_GBK" w:hAnsi="宋体" w:eastAsia="方正仿宋_GBK"/>
                <w:color w:val="auto"/>
                <w:sz w:val="21"/>
                <w:szCs w:val="21"/>
                <w:highlight w:val="none"/>
              </w:rPr>
              <w:t>中去掉六分之一（不能整除的按小数点前整数取整，不足六家报价则不去掉）的最低价和相同家数的最高价后的算术平均值即为投标</w:t>
            </w:r>
            <w:r>
              <w:rPr>
                <w:rFonts w:hint="eastAsia" w:ascii="方正仿宋_GBK" w:hAnsi="宋体" w:eastAsia="方正仿宋_GBK"/>
                <w:color w:val="auto"/>
                <w:sz w:val="21"/>
                <w:szCs w:val="21"/>
                <w:highlight w:val="none"/>
                <w:lang w:eastAsia="zh-CN"/>
              </w:rPr>
              <w:t>总</w:t>
            </w:r>
            <w:r>
              <w:rPr>
                <w:rFonts w:hint="eastAsia" w:ascii="方正仿宋_GBK" w:hAnsi="宋体" w:eastAsia="方正仿宋_GBK"/>
                <w:color w:val="auto"/>
                <w:sz w:val="21"/>
                <w:szCs w:val="21"/>
                <w:highlight w:val="none"/>
              </w:rPr>
              <w:t>报价的评标基准价。</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jc w:val="left"/>
              <w:textAlignment w:val="auto"/>
              <w:outlineLvl w:val="9"/>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2、</w:t>
            </w:r>
            <w:r>
              <w:rPr>
                <w:rFonts w:hint="eastAsia" w:ascii="方正仿宋_GBK" w:hAnsi="宋体" w:eastAsia="方正仿宋_GBK"/>
                <w:color w:val="auto"/>
                <w:sz w:val="21"/>
                <w:szCs w:val="21"/>
                <w:highlight w:val="none"/>
              </w:rPr>
              <w:t>偏差率=100%×（</w:t>
            </w:r>
            <w:r>
              <w:rPr>
                <w:rFonts w:hint="eastAsia" w:ascii="方正仿宋_GBK" w:hAnsi="宋体" w:eastAsia="方正仿宋_GBK"/>
                <w:color w:val="auto"/>
                <w:sz w:val="21"/>
                <w:szCs w:val="21"/>
                <w:highlight w:val="none"/>
                <w:lang w:eastAsia="zh-CN"/>
              </w:rPr>
              <w:t>供应商</w:t>
            </w:r>
            <w:r>
              <w:rPr>
                <w:rFonts w:hint="eastAsia" w:ascii="方正仿宋_GBK" w:hAnsi="宋体" w:eastAsia="方正仿宋_GBK"/>
                <w:color w:val="auto"/>
                <w:sz w:val="21"/>
                <w:szCs w:val="21"/>
                <w:highlight w:val="none"/>
              </w:rPr>
              <w:t>投标总报价-</w:t>
            </w:r>
            <w:r>
              <w:rPr>
                <w:rFonts w:hint="eastAsia" w:ascii="方正仿宋_GBK" w:hAnsi="宋体" w:eastAsia="方正仿宋_GBK"/>
                <w:color w:val="auto"/>
                <w:sz w:val="21"/>
                <w:szCs w:val="21"/>
                <w:highlight w:val="none"/>
                <w:lang w:eastAsia="zh-CN"/>
              </w:rPr>
              <w:t>评</w:t>
            </w:r>
            <w:r>
              <w:rPr>
                <w:rFonts w:hint="eastAsia" w:ascii="方正仿宋_GBK" w:hAnsi="宋体" w:eastAsia="方正仿宋_GBK"/>
                <w:color w:val="auto"/>
                <w:sz w:val="21"/>
                <w:szCs w:val="21"/>
                <w:highlight w:val="none"/>
              </w:rPr>
              <w:t>标基准价）/评标基准价。</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3</w:t>
            </w:r>
            <w:r>
              <w:rPr>
                <w:rFonts w:hint="eastAsia" w:ascii="方正仿宋_GBK" w:hAnsi="宋体" w:eastAsia="方正仿宋_GBK"/>
                <w:color w:val="auto"/>
                <w:sz w:val="21"/>
                <w:szCs w:val="21"/>
                <w:highlight w:val="none"/>
              </w:rPr>
              <w:t>、初步评审合格的</w:t>
            </w:r>
            <w:r>
              <w:rPr>
                <w:rFonts w:hint="eastAsia" w:ascii="方正仿宋_GBK" w:hAnsi="宋体" w:eastAsia="方正仿宋_GBK"/>
                <w:color w:val="auto"/>
                <w:sz w:val="21"/>
                <w:szCs w:val="21"/>
                <w:highlight w:val="none"/>
                <w:lang w:eastAsia="zh-CN"/>
              </w:rPr>
              <w:t>供应商先得</w:t>
            </w:r>
            <w:r>
              <w:rPr>
                <w:rFonts w:hint="eastAsia" w:ascii="方正仿宋_GBK" w:hAnsi="宋体" w:eastAsia="方正仿宋_GBK"/>
                <w:color w:val="auto"/>
                <w:sz w:val="21"/>
                <w:szCs w:val="21"/>
                <w:highlight w:val="none"/>
              </w:rPr>
              <w:t>满分</w:t>
            </w:r>
            <w:r>
              <w:rPr>
                <w:rFonts w:ascii="方正仿宋_GBK" w:hAnsi="宋体" w:eastAsia="方正仿宋_GBK"/>
                <w:color w:val="auto"/>
                <w:sz w:val="21"/>
                <w:szCs w:val="21"/>
                <w:highlight w:val="none"/>
              </w:rPr>
              <w:t>40</w:t>
            </w:r>
            <w:r>
              <w:rPr>
                <w:rFonts w:hint="eastAsia" w:ascii="方正仿宋_GBK" w:hAnsi="宋体" w:eastAsia="方正仿宋_GBK"/>
                <w:color w:val="auto"/>
                <w:sz w:val="21"/>
                <w:szCs w:val="21"/>
                <w:highlight w:val="none"/>
              </w:rPr>
              <w:t>分，在此基础上，投标</w:t>
            </w:r>
            <w:r>
              <w:rPr>
                <w:rFonts w:hint="eastAsia" w:ascii="方正仿宋_GBK" w:hAnsi="宋体" w:eastAsia="方正仿宋_GBK"/>
                <w:color w:val="auto"/>
                <w:sz w:val="21"/>
                <w:szCs w:val="21"/>
                <w:highlight w:val="none"/>
                <w:lang w:eastAsia="zh-CN"/>
              </w:rPr>
              <w:t>总</w:t>
            </w:r>
            <w:r>
              <w:rPr>
                <w:rFonts w:hint="eastAsia" w:ascii="方正仿宋_GBK" w:hAnsi="宋体" w:eastAsia="方正仿宋_GBK"/>
                <w:color w:val="auto"/>
                <w:sz w:val="21"/>
                <w:szCs w:val="21"/>
                <w:highlight w:val="none"/>
              </w:rPr>
              <w:t>报价与评标基准价相</w:t>
            </w:r>
            <w:r>
              <w:rPr>
                <w:rFonts w:hint="eastAsia" w:ascii="方正仿宋_GBK" w:hAnsi="宋体" w:eastAsia="方正仿宋_GBK"/>
                <w:color w:val="auto"/>
                <w:sz w:val="21"/>
                <w:szCs w:val="21"/>
                <w:highlight w:val="none"/>
                <w:lang w:eastAsia="zh-CN"/>
              </w:rPr>
              <w:t>比</w:t>
            </w:r>
            <w:r>
              <w:rPr>
                <w:rFonts w:hint="eastAsia" w:ascii="方正仿宋_GBK" w:hAnsi="宋体" w:eastAsia="方正仿宋_GBK"/>
                <w:color w:val="auto"/>
                <w:sz w:val="21"/>
                <w:szCs w:val="21"/>
                <w:highlight w:val="none"/>
              </w:rPr>
              <w:t>，每增加</w:t>
            </w:r>
            <w:r>
              <w:rPr>
                <w:rFonts w:hint="eastAsia" w:ascii="方正仿宋_GBK" w:hAnsi="宋体" w:eastAsia="方正仿宋_GBK"/>
                <w:color w:val="auto"/>
                <w:sz w:val="21"/>
                <w:szCs w:val="21"/>
                <w:highlight w:val="none"/>
                <w:lang w:val="en-US" w:eastAsia="zh-CN"/>
              </w:rPr>
              <w:t>1%</w:t>
            </w:r>
            <w:r>
              <w:rPr>
                <w:rFonts w:hint="eastAsia" w:ascii="方正仿宋_GBK" w:hAnsi="宋体" w:eastAsia="方正仿宋_GBK"/>
                <w:color w:val="auto"/>
                <w:sz w:val="21"/>
                <w:szCs w:val="21"/>
                <w:highlight w:val="none"/>
              </w:rPr>
              <w:t>扣0</w:t>
            </w:r>
            <w:r>
              <w:rPr>
                <w:rFonts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分，每减少</w:t>
            </w:r>
            <w:r>
              <w:rPr>
                <w:rFonts w:hint="eastAsia" w:ascii="方正仿宋_GBK" w:hAnsi="宋体" w:eastAsia="方正仿宋_GBK"/>
                <w:color w:val="auto"/>
                <w:sz w:val="21"/>
                <w:szCs w:val="21"/>
                <w:highlight w:val="none"/>
                <w:lang w:val="en-US" w:eastAsia="zh-CN"/>
              </w:rPr>
              <w:t>1%</w:t>
            </w:r>
            <w:r>
              <w:rPr>
                <w:rFonts w:hint="eastAsia" w:ascii="方正仿宋_GBK" w:hAnsi="宋体" w:eastAsia="方正仿宋_GBK"/>
                <w:color w:val="auto"/>
                <w:sz w:val="21"/>
                <w:szCs w:val="21"/>
                <w:highlight w:val="none"/>
              </w:rPr>
              <w:t>扣0</w:t>
            </w:r>
            <w:r>
              <w:rPr>
                <w:rFonts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val="en-US" w:eastAsia="zh-CN"/>
              </w:rPr>
              <w:t>25</w:t>
            </w:r>
            <w:r>
              <w:rPr>
                <w:rFonts w:hint="eastAsia" w:ascii="方正仿宋_GBK" w:hAnsi="宋体" w:eastAsia="方正仿宋_GBK"/>
                <w:color w:val="auto"/>
                <w:sz w:val="21"/>
                <w:szCs w:val="21"/>
                <w:highlight w:val="none"/>
              </w:rPr>
              <w:t>分，扣完为止。</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outlineLvl w:val="9"/>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按内插法计算，四舍五入，保留二位小数。</w:t>
            </w:r>
          </w:p>
          <w:p>
            <w:pPr>
              <w:keepNext w:val="0"/>
              <w:keepLines w:val="0"/>
              <w:pageBreakBefore w:val="0"/>
              <w:widowControl w:val="0"/>
              <w:kinsoku/>
              <w:wordWrap/>
              <w:overflowPunct/>
              <w:topLinePunct w:val="0"/>
              <w:autoSpaceDE/>
              <w:autoSpaceDN/>
              <w:bidi w:val="0"/>
              <w:adjustRightInd/>
              <w:snapToGrid/>
              <w:spacing w:line="340" w:lineRule="exact"/>
              <w:jc w:val="left"/>
              <w:textAlignment w:val="auto"/>
              <w:outlineLvl w:val="9"/>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注：1）评标基准价以人民币“元”为单位，有小数点的保留两位小数，小数点后第三位“四舍五入”。</w:t>
            </w:r>
          </w:p>
          <w:p>
            <w:pPr>
              <w:spacing w:line="400" w:lineRule="exact"/>
              <w:ind w:firstLine="438" w:firstLineChars="209"/>
              <w:jc w:val="lef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2）投标报价总价超出限价范围的，作为无效投标处理。</w:t>
            </w:r>
          </w:p>
        </w:tc>
        <w:tc>
          <w:tcPr>
            <w:tcW w:w="1029" w:type="dxa"/>
            <w:vAlign w:val="center"/>
          </w:tcPr>
          <w:p>
            <w:pPr>
              <w:spacing w:line="240" w:lineRule="atLeast"/>
              <w:ind w:left="-38"/>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restart"/>
            <w:vAlign w:val="center"/>
          </w:tcPr>
          <w:p>
            <w:pPr>
              <w:spacing w:line="4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w:t>
            </w:r>
          </w:p>
        </w:tc>
        <w:tc>
          <w:tcPr>
            <w:tcW w:w="1356" w:type="dxa"/>
            <w:gridSpan w:val="2"/>
            <w:vMerge w:val="restart"/>
            <w:vAlign w:val="center"/>
          </w:tcPr>
          <w:p>
            <w:pPr>
              <w:spacing w:line="4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监理大纲（40%）</w:t>
            </w:r>
          </w:p>
        </w:tc>
        <w:tc>
          <w:tcPr>
            <w:tcW w:w="811" w:type="dxa"/>
            <w:gridSpan w:val="2"/>
            <w:vMerge w:val="restart"/>
            <w:vAlign w:val="center"/>
          </w:tcPr>
          <w:p>
            <w:pPr>
              <w:spacing w:line="4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40</w:t>
            </w: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项目监理机构配置，项目监理人员岗位职责及制度情况（4分）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根据项目监理机构配置完整且合理，分工明确，项目监理人员岗位职责及制度健全，专业人员配置合理。</w:t>
            </w:r>
          </w:p>
        </w:tc>
        <w:tc>
          <w:tcPr>
            <w:tcW w:w="1029" w:type="dxa"/>
            <w:vMerge w:val="restart"/>
            <w:vAlign w:val="center"/>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根据监理大纲进行评分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对本工程重难点分析（8分）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 xml:space="preserve">对本工程重难点分析清楚、采用先进项目管理手段，有成熟可靠的措施，针对性强、科学有效。    </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原材料、构配件及设备质量监控，现场配制材料、构配件质量监控（4分）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原材料、构配件及设备质量监控手段科学，现场配制材料、构配件质量监控措施合理。</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质量控制（6分）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质量控制目标、工作流程及措施科学合理。</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安全控制和文明施工管理</w:t>
            </w:r>
          </w:p>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（6分）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安全控制目标、工作流程和文明施工管理措施科学合理。</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进度控制（3分）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进度控制目标、工作流程及措施科学合理。</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投资控制（3分）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投资控制目标、工作流程及措施科学合理。</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合同工程和信息资料管理</w:t>
            </w:r>
          </w:p>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合同工程和信息资料管理措施合理 。</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对项目建设管理建议（2分）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对项目建设管理建议有参考价值，可实施性强。</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拟投入的监理设备、仪器</w:t>
            </w:r>
          </w:p>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拟投入的监理设备、仪器满足工程监理需要。</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53" w:type="dxa"/>
            <w:gridSpan w:val="10"/>
            <w:vAlign w:val="center"/>
          </w:tcPr>
          <w:p>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供应商的应答应满足竞争性磋商文件“第三篇 项目商务要求”，交货期、质量保证期不满足竞争性磋商文件要求的为无效投标，其它商务要求有一条不满足的，商务部分得分为0分，不再进入商务部分的评审。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364" w:type="dxa"/>
            <w:vMerge w:val="restart"/>
            <w:vAlign w:val="center"/>
          </w:tcPr>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w:t>
            </w:r>
          </w:p>
        </w:tc>
        <w:tc>
          <w:tcPr>
            <w:tcW w:w="1020" w:type="dxa"/>
            <w:gridSpan w:val="2"/>
            <w:vMerge w:val="restart"/>
            <w:vAlign w:val="center"/>
          </w:tcPr>
          <w:p>
            <w:pPr>
              <w:spacing w:line="240" w:lineRule="atLeast"/>
              <w:rPr>
                <w:color w:val="auto"/>
                <w:highlight w:val="none"/>
              </w:rPr>
            </w:pPr>
          </w:p>
          <w:p>
            <w:pPr>
              <w:spacing w:line="240" w:lineRule="atLeast"/>
              <w:rPr>
                <w:color w:val="auto"/>
                <w:highlight w:val="none"/>
              </w:rPr>
            </w:pPr>
          </w:p>
          <w:p>
            <w:pPr>
              <w:spacing w:line="240" w:lineRule="atLeast"/>
              <w:rPr>
                <w:color w:val="auto"/>
                <w:highlight w:val="none"/>
              </w:rPr>
            </w:pPr>
          </w:p>
          <w:p>
            <w:pPr>
              <w:spacing w:line="240" w:lineRule="atLeast"/>
              <w:rPr>
                <w:color w:val="auto"/>
                <w:highlight w:val="none"/>
              </w:rPr>
            </w:pPr>
          </w:p>
          <w:p>
            <w:pPr>
              <w:spacing w:line="240" w:lineRule="atLeast"/>
              <w:jc w:val="center"/>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商务</w:t>
            </w:r>
          </w:p>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部分（</w:t>
            </w:r>
            <w:r>
              <w:rPr>
                <w:rFonts w:ascii="方正仿宋_GBK" w:hAnsi="宋体" w:eastAsia="方正仿宋_GBK"/>
                <w:color w:val="auto"/>
                <w:sz w:val="21"/>
                <w:szCs w:val="21"/>
                <w:highlight w:val="none"/>
              </w:rPr>
              <w:t>20</w:t>
            </w:r>
            <w:r>
              <w:rPr>
                <w:rFonts w:hint="eastAsia" w:ascii="方正仿宋_GBK" w:hAnsi="宋体" w:eastAsia="方正仿宋_GBK"/>
                <w:color w:val="auto"/>
                <w:sz w:val="21"/>
                <w:szCs w:val="21"/>
                <w:highlight w:val="none"/>
              </w:rPr>
              <w:t>%）</w:t>
            </w:r>
          </w:p>
          <w:p>
            <w:pPr>
              <w:pStyle w:val="2"/>
              <w:ind w:left="0" w:firstLine="0"/>
              <w:rPr>
                <w:color w:val="auto"/>
                <w:highlight w:val="none"/>
              </w:rPr>
            </w:pPr>
          </w:p>
          <w:p>
            <w:pPr>
              <w:rPr>
                <w:color w:val="auto"/>
                <w:highlight w:val="none"/>
              </w:rPr>
            </w:pPr>
          </w:p>
        </w:tc>
        <w:tc>
          <w:tcPr>
            <w:tcW w:w="855" w:type="dxa"/>
            <w:gridSpan w:val="2"/>
            <w:vAlign w:val="center"/>
          </w:tcPr>
          <w:p>
            <w:pPr>
              <w:spacing w:line="240" w:lineRule="atLeast"/>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业绩</w:t>
            </w:r>
          </w:p>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（10%）</w:t>
            </w:r>
          </w:p>
        </w:tc>
        <w:tc>
          <w:tcPr>
            <w:tcW w:w="361" w:type="dxa"/>
            <w:vAlign w:val="center"/>
          </w:tcPr>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10</w:t>
            </w:r>
          </w:p>
        </w:tc>
        <w:tc>
          <w:tcPr>
            <w:tcW w:w="4469" w:type="dxa"/>
            <w:gridSpan w:val="2"/>
            <w:vAlign w:val="center"/>
          </w:tcPr>
          <w:p>
            <w:pPr>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2014年1月至投标截止日</w:t>
            </w:r>
            <w:r>
              <w:rPr>
                <w:rFonts w:hint="eastAsia" w:ascii="方正仿宋_GBK" w:hAnsi="宋体" w:eastAsia="方正仿宋_GBK"/>
                <w:color w:val="auto"/>
                <w:sz w:val="21"/>
                <w:szCs w:val="21"/>
                <w:highlight w:val="none"/>
                <w:lang w:eastAsia="zh-CN"/>
              </w:rPr>
              <w:t>（以项目竣工验收时间为准</w:t>
            </w:r>
            <w:r>
              <w:rPr>
                <w:rFonts w:hint="eastAsia"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eastAsia="zh-CN"/>
              </w:rPr>
              <w:t>，</w:t>
            </w:r>
            <w:r>
              <w:rPr>
                <w:rFonts w:hint="eastAsia" w:ascii="方正仿宋_GBK" w:hAnsi="宋体" w:eastAsia="方正仿宋_GBK"/>
                <w:color w:val="auto"/>
                <w:sz w:val="21"/>
                <w:szCs w:val="21"/>
                <w:highlight w:val="none"/>
              </w:rPr>
              <w:t>供应商独立承担过房屋建筑工程且监理服务费（或暂定监理服务费）在40万元及以上的监理业绩的，每有1个得</w:t>
            </w:r>
            <w:r>
              <w:rPr>
                <w:rFonts w:ascii="方正仿宋_GBK" w:hAnsi="宋体" w:eastAsia="方正仿宋_GBK"/>
                <w:color w:val="auto"/>
                <w:sz w:val="21"/>
                <w:szCs w:val="21"/>
                <w:highlight w:val="none"/>
              </w:rPr>
              <w:t>2</w:t>
            </w:r>
            <w:r>
              <w:rPr>
                <w:rFonts w:hint="eastAsia" w:ascii="方正仿宋_GBK" w:hAnsi="宋体" w:eastAsia="方正仿宋_GBK"/>
                <w:color w:val="auto"/>
                <w:sz w:val="21"/>
                <w:szCs w:val="21"/>
                <w:highlight w:val="none"/>
              </w:rPr>
              <w:t>分，此项最多得10分。</w:t>
            </w:r>
          </w:p>
        </w:tc>
        <w:tc>
          <w:tcPr>
            <w:tcW w:w="2484" w:type="dxa"/>
            <w:gridSpan w:val="2"/>
            <w:vAlign w:val="center"/>
          </w:tcPr>
          <w:p>
            <w:pPr>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宋体" w:eastAsia="方正仿宋_GBK"/>
                <w:color w:val="auto"/>
                <w:sz w:val="21"/>
                <w:szCs w:val="21"/>
                <w:highlight w:val="none"/>
                <w:lang w:eastAsia="zh-CN"/>
              </w:rPr>
            </w:pPr>
            <w:r>
              <w:rPr>
                <w:rFonts w:hint="eastAsia" w:ascii="方正仿宋_GBK" w:hAnsi="宋体" w:eastAsia="方正仿宋_GBK"/>
                <w:color w:val="auto"/>
                <w:sz w:val="21"/>
                <w:szCs w:val="21"/>
                <w:highlight w:val="none"/>
              </w:rPr>
              <w:t>提供成交</w:t>
            </w:r>
            <w:r>
              <w:rPr>
                <w:rFonts w:hint="eastAsia" w:ascii="方正仿宋_GBK" w:hAnsi="宋体" w:eastAsia="方正仿宋_GBK"/>
                <w:color w:val="auto"/>
                <w:sz w:val="21"/>
                <w:szCs w:val="21"/>
                <w:highlight w:val="none"/>
                <w:lang w:val="en-US" w:eastAsia="zh-CN"/>
              </w:rPr>
              <w:t>（中标）</w:t>
            </w:r>
            <w:r>
              <w:rPr>
                <w:rFonts w:hint="eastAsia" w:ascii="方正仿宋_GBK" w:hAnsi="宋体" w:eastAsia="方正仿宋_GBK"/>
                <w:color w:val="auto"/>
                <w:sz w:val="21"/>
                <w:szCs w:val="21"/>
                <w:highlight w:val="none"/>
              </w:rPr>
              <w:t>通知书、监理合同以及竣工验收意见书复印件并加盖供应商单位公章</w:t>
            </w:r>
            <w:r>
              <w:rPr>
                <w:rFonts w:hint="eastAsia" w:ascii="方正仿宋_GBK" w:hAnsi="宋体" w:eastAsia="方正仿宋_GBK"/>
                <w:color w:val="auto"/>
                <w:sz w:val="21"/>
                <w:szCs w:val="21"/>
                <w:highlight w:val="none"/>
                <w:lang w:eastAsia="zh-CN"/>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8" w:hRule="atLeast"/>
        </w:trPr>
        <w:tc>
          <w:tcPr>
            <w:tcW w:w="364" w:type="dxa"/>
            <w:vMerge w:val="continue"/>
            <w:vAlign w:val="center"/>
          </w:tcPr>
          <w:p>
            <w:pPr>
              <w:spacing w:line="240" w:lineRule="atLeast"/>
              <w:rPr>
                <w:rFonts w:ascii="方正仿宋_GBK" w:hAnsi="宋体" w:eastAsia="方正仿宋_GBK"/>
                <w:color w:val="auto"/>
                <w:sz w:val="21"/>
                <w:szCs w:val="21"/>
                <w:highlight w:val="none"/>
              </w:rPr>
            </w:pPr>
          </w:p>
        </w:tc>
        <w:tc>
          <w:tcPr>
            <w:tcW w:w="1020" w:type="dxa"/>
            <w:gridSpan w:val="2"/>
            <w:vMerge w:val="continue"/>
            <w:vAlign w:val="center"/>
          </w:tcPr>
          <w:p>
            <w:pPr>
              <w:spacing w:line="240" w:lineRule="atLeast"/>
              <w:rPr>
                <w:rFonts w:ascii="方正仿宋_GBK" w:hAnsi="宋体" w:eastAsia="方正仿宋_GBK"/>
                <w:color w:val="auto"/>
                <w:sz w:val="21"/>
                <w:szCs w:val="21"/>
                <w:highlight w:val="none"/>
              </w:rPr>
            </w:pPr>
          </w:p>
        </w:tc>
        <w:tc>
          <w:tcPr>
            <w:tcW w:w="855" w:type="dxa"/>
            <w:gridSpan w:val="2"/>
            <w:vAlign w:val="center"/>
          </w:tcPr>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人员要求</w:t>
            </w:r>
          </w:p>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(10%)</w:t>
            </w:r>
          </w:p>
        </w:tc>
        <w:tc>
          <w:tcPr>
            <w:tcW w:w="361" w:type="dxa"/>
            <w:vAlign w:val="center"/>
          </w:tcPr>
          <w:p>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10</w:t>
            </w:r>
          </w:p>
        </w:tc>
        <w:tc>
          <w:tcPr>
            <w:tcW w:w="4469" w:type="dxa"/>
            <w:gridSpan w:val="2"/>
            <w:vAlign w:val="center"/>
          </w:tcPr>
          <w:p>
            <w:pPr>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宋体" w:eastAsia="方正仿宋_GBK"/>
                <w:b/>
                <w:bCs/>
                <w:color w:val="auto"/>
                <w:sz w:val="21"/>
                <w:szCs w:val="21"/>
                <w:highlight w:val="none"/>
              </w:rPr>
            </w:pPr>
            <w:r>
              <w:rPr>
                <w:rFonts w:hint="eastAsia" w:ascii="方正仿宋_GBK" w:hAnsi="宋体" w:eastAsia="方正仿宋_GBK"/>
                <w:b/>
                <w:bCs/>
                <w:color w:val="auto"/>
                <w:sz w:val="21"/>
                <w:szCs w:val="21"/>
                <w:highlight w:val="none"/>
              </w:rPr>
              <w:t>1．总监理工程师（</w:t>
            </w:r>
            <w:r>
              <w:rPr>
                <w:rFonts w:hint="eastAsia" w:ascii="方正仿宋_GBK" w:hAnsi="宋体" w:eastAsia="方正仿宋_GBK"/>
                <w:b/>
                <w:bCs/>
                <w:color w:val="auto"/>
                <w:sz w:val="21"/>
                <w:szCs w:val="21"/>
                <w:highlight w:val="none"/>
                <w:lang w:val="en-US" w:eastAsia="zh-CN"/>
              </w:rPr>
              <w:t>7</w:t>
            </w:r>
            <w:r>
              <w:rPr>
                <w:rFonts w:hint="eastAsia" w:ascii="方正仿宋_GBK" w:hAnsi="宋体" w:eastAsia="方正仿宋_GBK"/>
                <w:b/>
                <w:bCs/>
                <w:color w:val="auto"/>
                <w:sz w:val="21"/>
                <w:szCs w:val="21"/>
                <w:highlight w:val="none"/>
              </w:rPr>
              <w:t>分）：</w:t>
            </w:r>
          </w:p>
          <w:p>
            <w:pPr>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1)总监理工程师同时</w:t>
            </w:r>
            <w:r>
              <w:rPr>
                <w:rFonts w:hint="eastAsia" w:ascii="方正仿宋_GBK" w:hAnsi="宋体" w:eastAsia="方正仿宋_GBK"/>
                <w:color w:val="auto"/>
                <w:sz w:val="21"/>
                <w:szCs w:val="21"/>
                <w:highlight w:val="none"/>
              </w:rPr>
              <w:t>具有</w:t>
            </w: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年及以上监理工作经验（以执业资格证上的“签发期日”为准)</w:t>
            </w:r>
            <w:r>
              <w:rPr>
                <w:rFonts w:hint="eastAsia" w:ascii="方正仿宋_GBK" w:hAnsi="宋体" w:eastAsia="方正仿宋_GBK"/>
                <w:color w:val="auto"/>
                <w:sz w:val="21"/>
                <w:szCs w:val="21"/>
                <w:highlight w:val="none"/>
                <w:lang w:eastAsia="zh-CN"/>
              </w:rPr>
              <w:t>、工程类中级及以上职称及本科及以上学历（学历证书上的专业为土木工程专业）的</w:t>
            </w:r>
            <w:r>
              <w:rPr>
                <w:rFonts w:hint="eastAsia" w:ascii="方正仿宋_GBK" w:hAnsi="宋体" w:eastAsia="方正仿宋_GBK"/>
                <w:color w:val="auto"/>
                <w:sz w:val="21"/>
                <w:szCs w:val="21"/>
                <w:highlight w:val="none"/>
              </w:rPr>
              <w:t>得</w:t>
            </w:r>
            <w:r>
              <w:rPr>
                <w:rFonts w:hint="eastAsia" w:ascii="方正仿宋_GBK" w:hAnsi="宋体" w:eastAsia="方正仿宋_GBK"/>
                <w:color w:val="auto"/>
                <w:sz w:val="21"/>
                <w:szCs w:val="21"/>
                <w:highlight w:val="none"/>
                <w:lang w:val="en-US" w:eastAsia="zh-CN"/>
              </w:rPr>
              <w:t>2</w:t>
            </w:r>
            <w:r>
              <w:rPr>
                <w:rFonts w:hint="eastAsia" w:ascii="方正仿宋_GBK" w:hAnsi="宋体" w:eastAsia="方正仿宋_GBK"/>
                <w:color w:val="auto"/>
                <w:sz w:val="21"/>
                <w:szCs w:val="21"/>
                <w:highlight w:val="none"/>
              </w:rPr>
              <w:t>分</w:t>
            </w:r>
            <w:r>
              <w:rPr>
                <w:rFonts w:hint="eastAsia" w:ascii="方正仿宋_GBK" w:hAnsi="宋体" w:eastAsia="方正仿宋_GBK"/>
                <w:color w:val="auto"/>
                <w:sz w:val="21"/>
                <w:szCs w:val="21"/>
                <w:highlight w:val="none"/>
                <w:lang w:eastAsia="zh-CN"/>
              </w:rPr>
              <w:t>，否则不得分</w:t>
            </w:r>
            <w:r>
              <w:rPr>
                <w:rFonts w:hint="eastAsia" w:ascii="方正仿宋_GBK" w:hAnsi="宋体" w:eastAsia="方正仿宋_GBK"/>
                <w:color w:val="auto"/>
                <w:sz w:val="21"/>
                <w:szCs w:val="21"/>
                <w:highlight w:val="none"/>
              </w:rPr>
              <w:t>；</w:t>
            </w:r>
          </w:p>
          <w:p>
            <w:pPr>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2)总监理工程师</w:t>
            </w:r>
            <w:r>
              <w:rPr>
                <w:rFonts w:hint="eastAsia" w:ascii="方正仿宋_GBK" w:hAnsi="宋体" w:eastAsia="方正仿宋_GBK"/>
                <w:color w:val="auto"/>
                <w:sz w:val="21"/>
                <w:szCs w:val="21"/>
                <w:highlight w:val="none"/>
              </w:rPr>
              <w:t>具有建筑工程专业注册一级建造师资格</w:t>
            </w:r>
            <w:r>
              <w:rPr>
                <w:rFonts w:hint="eastAsia" w:ascii="方正仿宋_GBK" w:hAnsi="宋体" w:eastAsia="方正仿宋_GBK"/>
                <w:color w:val="auto"/>
                <w:sz w:val="21"/>
                <w:szCs w:val="21"/>
                <w:highlight w:val="none"/>
                <w:lang w:eastAsia="zh-CN"/>
              </w:rPr>
              <w:t>的</w:t>
            </w:r>
            <w:r>
              <w:rPr>
                <w:rFonts w:hint="eastAsia" w:ascii="方正仿宋_GBK" w:hAnsi="宋体" w:eastAsia="方正仿宋_GBK"/>
                <w:color w:val="auto"/>
                <w:sz w:val="21"/>
                <w:szCs w:val="21"/>
                <w:highlight w:val="none"/>
              </w:rPr>
              <w:t>得</w:t>
            </w:r>
            <w:r>
              <w:rPr>
                <w:rFonts w:hint="eastAsia" w:ascii="方正仿宋_GBK" w:hAnsi="宋体" w:eastAsia="方正仿宋_GBK"/>
                <w:color w:val="auto"/>
                <w:sz w:val="21"/>
                <w:szCs w:val="21"/>
                <w:highlight w:val="none"/>
                <w:lang w:val="en-US" w:eastAsia="zh-CN"/>
              </w:rPr>
              <w:t>2</w:t>
            </w:r>
            <w:r>
              <w:rPr>
                <w:rFonts w:hint="eastAsia" w:ascii="方正仿宋_GBK" w:hAnsi="宋体" w:eastAsia="方正仿宋_GBK"/>
                <w:color w:val="auto"/>
                <w:sz w:val="21"/>
                <w:szCs w:val="21"/>
                <w:highlight w:val="none"/>
              </w:rPr>
              <w:t>分</w:t>
            </w:r>
            <w:r>
              <w:rPr>
                <w:rFonts w:hint="eastAsia" w:ascii="方正仿宋_GBK" w:hAnsi="宋体" w:eastAsia="方正仿宋_GBK"/>
                <w:color w:val="auto"/>
                <w:sz w:val="21"/>
                <w:szCs w:val="21"/>
                <w:highlight w:val="none"/>
                <w:lang w:eastAsia="zh-CN"/>
              </w:rPr>
              <w:t>，否则不得分</w:t>
            </w:r>
            <w:r>
              <w:rPr>
                <w:rFonts w:hint="eastAsia" w:ascii="方正仿宋_GBK" w:hAnsi="宋体" w:eastAsia="方正仿宋_GBK"/>
                <w:color w:val="auto"/>
                <w:sz w:val="21"/>
                <w:szCs w:val="21"/>
                <w:highlight w:val="none"/>
              </w:rPr>
              <w:t>。</w:t>
            </w:r>
          </w:p>
          <w:p>
            <w:pPr>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textAlignment w:val="auto"/>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3)总监理工程师2014年1月至投标截止日</w:t>
            </w:r>
            <w:r>
              <w:rPr>
                <w:rFonts w:hint="eastAsia" w:ascii="方正仿宋_GBK" w:hAnsi="宋体" w:eastAsia="方正仿宋_GBK"/>
                <w:color w:val="auto"/>
                <w:sz w:val="21"/>
                <w:szCs w:val="21"/>
                <w:highlight w:val="none"/>
                <w:lang w:eastAsia="zh-CN"/>
              </w:rPr>
              <w:t>（以项目竣工验收时间为准</w:t>
            </w:r>
            <w:r>
              <w:rPr>
                <w:rFonts w:hint="eastAsia"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val="en-US" w:eastAsia="zh-CN"/>
              </w:rPr>
              <w:t>承担过房屋建筑工程且监理服务费（或暂定监理服务费）在40万元及以上的监理业绩，且在该项目中担任总监理工程师的，每有1个得1.5分，此项最多得3分。</w:t>
            </w:r>
          </w:p>
          <w:p>
            <w:pPr>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宋体" w:eastAsia="方正仿宋_GBK"/>
                <w:b/>
                <w:bCs/>
                <w:color w:val="auto"/>
                <w:sz w:val="21"/>
                <w:szCs w:val="21"/>
                <w:highlight w:val="none"/>
              </w:rPr>
            </w:pPr>
            <w:r>
              <w:rPr>
                <w:rFonts w:hint="eastAsia" w:ascii="方正仿宋_GBK" w:hAnsi="宋体" w:eastAsia="方正仿宋_GBK"/>
                <w:b/>
                <w:bCs/>
                <w:color w:val="auto"/>
                <w:sz w:val="21"/>
                <w:szCs w:val="21"/>
                <w:highlight w:val="none"/>
              </w:rPr>
              <w:t>2.专业监理工程师（</w:t>
            </w:r>
            <w:r>
              <w:rPr>
                <w:rFonts w:hint="eastAsia" w:ascii="方正仿宋_GBK" w:hAnsi="宋体" w:eastAsia="方正仿宋_GBK"/>
                <w:b/>
                <w:bCs/>
                <w:color w:val="auto"/>
                <w:sz w:val="21"/>
                <w:szCs w:val="21"/>
                <w:highlight w:val="none"/>
                <w:lang w:val="en-US" w:eastAsia="zh-CN"/>
              </w:rPr>
              <w:t>3</w:t>
            </w:r>
            <w:r>
              <w:rPr>
                <w:rFonts w:hint="eastAsia" w:ascii="方正仿宋_GBK" w:hAnsi="宋体" w:eastAsia="方正仿宋_GBK"/>
                <w:b/>
                <w:bCs/>
                <w:color w:val="auto"/>
                <w:sz w:val="21"/>
                <w:szCs w:val="21"/>
                <w:highlight w:val="none"/>
              </w:rPr>
              <w:t>分）</w:t>
            </w:r>
          </w:p>
          <w:p>
            <w:pPr>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hint="eastAsia" w:ascii="方正仿宋_GBK" w:hAnsi="宋体" w:eastAsia="方正仿宋_GBK"/>
                <w:color w:val="auto"/>
                <w:sz w:val="21"/>
                <w:szCs w:val="21"/>
                <w:highlight w:val="none"/>
                <w:lang w:eastAsia="zh-CN"/>
              </w:rPr>
            </w:pPr>
            <w:r>
              <w:rPr>
                <w:rFonts w:hint="eastAsia" w:ascii="方正仿宋_GBK" w:hAnsi="宋体" w:eastAsia="方正仿宋_GBK"/>
                <w:color w:val="auto"/>
                <w:sz w:val="21"/>
                <w:szCs w:val="21"/>
                <w:highlight w:val="none"/>
                <w:lang w:val="en-US" w:eastAsia="zh-CN"/>
              </w:rPr>
              <w:t>1）拟配备的</w:t>
            </w:r>
            <w:r>
              <w:rPr>
                <w:rFonts w:hint="eastAsia" w:ascii="方正仿宋_GBK" w:hAnsi="宋体" w:eastAsia="方正仿宋_GBK"/>
                <w:color w:val="auto"/>
                <w:sz w:val="21"/>
                <w:szCs w:val="21"/>
                <w:highlight w:val="none"/>
              </w:rPr>
              <w:t>专业监理工程师</w:t>
            </w:r>
            <w:r>
              <w:rPr>
                <w:rFonts w:hint="eastAsia" w:ascii="方正仿宋_GBK" w:hAnsi="宋体" w:eastAsia="方正仿宋_GBK"/>
                <w:color w:val="auto"/>
                <w:sz w:val="21"/>
                <w:szCs w:val="21"/>
                <w:highlight w:val="none"/>
                <w:lang w:val="en-US" w:eastAsia="zh-CN"/>
              </w:rPr>
              <w:t>2人须</w:t>
            </w:r>
            <w:r>
              <w:rPr>
                <w:rFonts w:hint="eastAsia" w:ascii="方正仿宋_GBK" w:hAnsi="宋体" w:eastAsia="方正仿宋_GBK"/>
                <w:color w:val="auto"/>
                <w:sz w:val="21"/>
                <w:szCs w:val="21"/>
                <w:highlight w:val="none"/>
                <w:lang w:eastAsia="zh-CN"/>
              </w:rPr>
              <w:t>同时</w:t>
            </w:r>
            <w:r>
              <w:rPr>
                <w:rFonts w:hint="eastAsia" w:ascii="方正仿宋_GBK" w:hAnsi="宋体" w:eastAsia="方正仿宋_GBK"/>
                <w:color w:val="auto"/>
                <w:sz w:val="21"/>
                <w:szCs w:val="21"/>
                <w:highlight w:val="none"/>
              </w:rPr>
              <w:t>具有</w:t>
            </w:r>
            <w:r>
              <w:rPr>
                <w:rFonts w:hint="eastAsia" w:ascii="方正仿宋_GBK" w:hAnsi="宋体" w:eastAsia="方正仿宋_GBK"/>
                <w:color w:val="auto"/>
                <w:sz w:val="21"/>
                <w:szCs w:val="21"/>
                <w:highlight w:val="none"/>
                <w:lang w:val="en-US" w:eastAsia="zh-CN"/>
              </w:rPr>
              <w:t>3</w:t>
            </w:r>
            <w:r>
              <w:rPr>
                <w:rFonts w:hint="eastAsia" w:ascii="方正仿宋_GBK" w:hAnsi="宋体" w:eastAsia="方正仿宋_GBK"/>
                <w:color w:val="auto"/>
                <w:sz w:val="21"/>
                <w:szCs w:val="21"/>
                <w:highlight w:val="none"/>
              </w:rPr>
              <w:t>年及以上监理工作经验（以执业资格证上的“签发期日”为准)</w:t>
            </w:r>
            <w:r>
              <w:rPr>
                <w:rFonts w:hint="eastAsia" w:ascii="方正仿宋_GBK" w:hAnsi="宋体" w:eastAsia="方正仿宋_GBK"/>
                <w:color w:val="auto"/>
                <w:sz w:val="21"/>
                <w:szCs w:val="21"/>
                <w:highlight w:val="none"/>
                <w:lang w:eastAsia="zh-CN"/>
              </w:rPr>
              <w:t>、</w:t>
            </w:r>
            <w:r>
              <w:rPr>
                <w:rFonts w:hint="eastAsia" w:ascii="方正仿宋_GBK" w:hAnsi="宋体" w:eastAsia="方正仿宋_GBK"/>
                <w:color w:val="auto"/>
                <w:sz w:val="21"/>
                <w:szCs w:val="21"/>
                <w:highlight w:val="none"/>
              </w:rPr>
              <w:t>工程类中级及以上技术职称</w:t>
            </w:r>
            <w:r>
              <w:rPr>
                <w:rFonts w:hint="eastAsia" w:ascii="方正仿宋_GBK" w:hAnsi="宋体" w:eastAsia="方正仿宋_GBK"/>
                <w:color w:val="auto"/>
                <w:sz w:val="21"/>
                <w:szCs w:val="21"/>
                <w:highlight w:val="none"/>
                <w:lang w:eastAsia="zh-CN"/>
              </w:rPr>
              <w:t>的</w:t>
            </w:r>
            <w:r>
              <w:rPr>
                <w:rFonts w:hint="eastAsia" w:ascii="方正仿宋_GBK" w:hAnsi="宋体" w:eastAsia="方正仿宋_GBK"/>
                <w:color w:val="auto"/>
                <w:sz w:val="21"/>
                <w:szCs w:val="21"/>
                <w:highlight w:val="none"/>
              </w:rPr>
              <w:t>得</w:t>
            </w:r>
            <w:r>
              <w:rPr>
                <w:rFonts w:hint="eastAsia" w:ascii="方正仿宋_GBK" w:hAnsi="宋体" w:eastAsia="方正仿宋_GBK"/>
                <w:color w:val="auto"/>
                <w:sz w:val="21"/>
                <w:szCs w:val="21"/>
                <w:highlight w:val="none"/>
                <w:lang w:val="en-US" w:eastAsia="zh-CN"/>
              </w:rPr>
              <w:t>3</w:t>
            </w:r>
            <w:r>
              <w:rPr>
                <w:rFonts w:hint="eastAsia" w:ascii="方正仿宋_GBK" w:hAnsi="宋体" w:eastAsia="方正仿宋_GBK"/>
                <w:color w:val="auto"/>
                <w:sz w:val="21"/>
                <w:szCs w:val="21"/>
                <w:highlight w:val="none"/>
              </w:rPr>
              <w:t>分</w:t>
            </w:r>
            <w:r>
              <w:rPr>
                <w:rFonts w:hint="eastAsia" w:ascii="方正仿宋_GBK" w:hAnsi="宋体" w:eastAsia="方正仿宋_GBK"/>
                <w:color w:val="auto"/>
                <w:sz w:val="21"/>
                <w:szCs w:val="21"/>
                <w:highlight w:val="none"/>
                <w:lang w:eastAsia="zh-CN"/>
              </w:rPr>
              <w:t>，否则不得分。</w:t>
            </w:r>
          </w:p>
          <w:p>
            <w:pPr>
              <w:keepLines w:val="0"/>
              <w:pageBreakBefore w:val="0"/>
              <w:widowControl w:val="0"/>
              <w:numPr>
                <w:ilvl w:val="0"/>
                <w:numId w:val="0"/>
              </w:numPr>
              <w:kinsoku/>
              <w:wordWrap/>
              <w:overflowPunct/>
              <w:topLinePunct w:val="0"/>
              <w:autoSpaceDE/>
              <w:autoSpaceDN/>
              <w:bidi w:val="0"/>
              <w:adjustRightInd/>
              <w:snapToGrid/>
              <w:spacing w:line="360" w:lineRule="exact"/>
              <w:ind w:left="0" w:leftChars="0" w:firstLine="420" w:firstLineChars="200"/>
              <w:textAlignment w:val="auto"/>
              <w:rPr>
                <w:rFonts w:ascii="方正仿宋_GBK" w:hAnsi="宋体" w:eastAsia="方正仿宋_GBK"/>
                <w:color w:val="auto"/>
                <w:sz w:val="21"/>
                <w:szCs w:val="21"/>
                <w:highlight w:val="none"/>
              </w:rPr>
            </w:pPr>
            <w:r>
              <w:rPr>
                <w:rFonts w:hint="eastAsia" w:ascii="方正仿宋_GBK" w:hAnsi="宋体" w:eastAsia="方正仿宋_GBK"/>
                <w:b/>
                <w:bCs/>
                <w:color w:val="auto"/>
                <w:sz w:val="21"/>
                <w:szCs w:val="21"/>
                <w:highlight w:val="none"/>
                <w:lang w:eastAsia="zh-CN"/>
              </w:rPr>
              <w:t>注：拟配备的</w:t>
            </w:r>
            <w:r>
              <w:rPr>
                <w:rFonts w:hint="eastAsia" w:ascii="方正仿宋_GBK" w:hAnsi="宋体" w:eastAsia="方正仿宋_GBK"/>
                <w:b/>
                <w:bCs/>
                <w:color w:val="auto"/>
                <w:sz w:val="21"/>
                <w:szCs w:val="21"/>
                <w:highlight w:val="none"/>
              </w:rPr>
              <w:t>房屋建筑工程专业监理工程师和机电安装工程专业监理工程师</w:t>
            </w:r>
            <w:r>
              <w:rPr>
                <w:rFonts w:hint="eastAsia" w:ascii="方正仿宋_GBK" w:hAnsi="宋体" w:eastAsia="方正仿宋_GBK"/>
                <w:b/>
                <w:bCs/>
                <w:color w:val="auto"/>
                <w:sz w:val="21"/>
                <w:szCs w:val="21"/>
                <w:highlight w:val="none"/>
                <w:lang w:eastAsia="zh-CN"/>
              </w:rPr>
              <w:t>须同时具备以上条件才能加分，否则不加分。</w:t>
            </w:r>
          </w:p>
        </w:tc>
        <w:tc>
          <w:tcPr>
            <w:tcW w:w="2484" w:type="dxa"/>
            <w:gridSpan w:val="2"/>
            <w:vAlign w:val="center"/>
          </w:tcPr>
          <w:p>
            <w:pPr>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1、1）提供总监理工程师执业资格证复印件、职称证复印件、学历证书复印件；2）提供总监理工程师一级建造师注册证及资格证复印件；3）提供总监理工程师业绩的成交（中标）通知书、监理合同以及</w:t>
            </w:r>
            <w:r>
              <w:rPr>
                <w:rFonts w:hint="eastAsia" w:ascii="方正仿宋_GBK" w:hAnsi="宋体" w:eastAsia="方正仿宋_GBK"/>
                <w:color w:val="auto"/>
                <w:sz w:val="21"/>
                <w:szCs w:val="21"/>
                <w:highlight w:val="none"/>
              </w:rPr>
              <w:t>竣工验收意见书复印件</w:t>
            </w:r>
            <w:r>
              <w:rPr>
                <w:rFonts w:hint="eastAsia" w:ascii="方正仿宋_GBK" w:hAnsi="宋体" w:eastAsia="方正仿宋_GBK"/>
                <w:color w:val="auto"/>
                <w:sz w:val="21"/>
                <w:szCs w:val="21"/>
                <w:highlight w:val="none"/>
                <w:lang w:eastAsia="zh-CN"/>
              </w:rPr>
              <w:t>。（注：以上材料须能体现</w:t>
            </w:r>
            <w:r>
              <w:rPr>
                <w:rFonts w:hint="eastAsia" w:ascii="方正仿宋_GBK" w:hAnsi="宋体" w:eastAsia="方正仿宋_GBK"/>
                <w:color w:val="auto"/>
                <w:sz w:val="21"/>
                <w:szCs w:val="21"/>
                <w:highlight w:val="none"/>
                <w:lang w:val="en-US" w:eastAsia="zh-CN"/>
              </w:rPr>
              <w:t>总监理工程师的姓名，否则视为无效业绩</w:t>
            </w:r>
            <w:r>
              <w:rPr>
                <w:rFonts w:hint="eastAsia" w:ascii="方正仿宋_GBK" w:hAnsi="宋体" w:eastAsia="方正仿宋_GBK"/>
                <w:color w:val="auto"/>
                <w:sz w:val="21"/>
                <w:szCs w:val="21"/>
                <w:highlight w:val="none"/>
                <w:lang w:eastAsia="zh-CN"/>
              </w:rPr>
              <w:t>）</w:t>
            </w:r>
          </w:p>
          <w:p>
            <w:pPr>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2、1）提供专业监理工程师执业资格证复印件、职称证复印件。</w:t>
            </w:r>
          </w:p>
          <w:p>
            <w:pPr>
              <w:keepLines w:val="0"/>
              <w:pageBreakBefore w:val="0"/>
              <w:widowControl w:val="0"/>
              <w:kinsoku/>
              <w:wordWrap/>
              <w:overflowPunct/>
              <w:topLinePunct w:val="0"/>
              <w:autoSpaceDE/>
              <w:autoSpaceDN/>
              <w:bidi w:val="0"/>
              <w:adjustRightInd/>
              <w:snapToGrid/>
              <w:spacing w:line="360" w:lineRule="exact"/>
              <w:jc w:val="left"/>
              <w:textAlignment w:val="auto"/>
              <w:rPr>
                <w:rFonts w:hint="eastAsia" w:eastAsia="方正仿宋_GBK"/>
                <w:color w:val="auto"/>
                <w:highlight w:val="none"/>
                <w:lang w:eastAsia="zh-CN"/>
              </w:rPr>
            </w:pPr>
            <w:r>
              <w:rPr>
                <w:rFonts w:hint="eastAsia" w:ascii="方正仿宋_GBK" w:hAnsi="宋体" w:eastAsia="方正仿宋_GBK"/>
                <w:color w:val="auto"/>
                <w:sz w:val="21"/>
                <w:szCs w:val="21"/>
                <w:highlight w:val="none"/>
                <w:lang w:val="en-US" w:eastAsia="zh-CN"/>
              </w:rPr>
              <w:t>注：以上复印件均需加盖供应商单位公章，原件备查。</w:t>
            </w:r>
          </w:p>
        </w:tc>
      </w:tr>
    </w:tbl>
    <w:p>
      <w:pPr>
        <w:spacing w:line="340" w:lineRule="exact"/>
        <w:rPr>
          <w:rFonts w:ascii="宋体" w:hAnsi="宋体"/>
          <w:b/>
          <w:bCs/>
          <w:color w:val="auto"/>
          <w:szCs w:val="28"/>
          <w:highlight w:val="none"/>
        </w:rPr>
      </w:pPr>
      <w:r>
        <w:rPr>
          <w:rFonts w:hint="eastAsia" w:ascii="方正仿宋_GBK" w:eastAsia="方正仿宋_GBK"/>
          <w:b/>
          <w:color w:val="auto"/>
          <w:szCs w:val="28"/>
          <w:highlight w:val="none"/>
        </w:rPr>
        <w:t>注：</w:t>
      </w:r>
      <w:r>
        <w:rPr>
          <w:rFonts w:hint="eastAsia" w:ascii="宋体" w:hAnsi="宋体"/>
          <w:b/>
          <w:bCs/>
          <w:color w:val="auto"/>
          <w:szCs w:val="28"/>
          <w:highlight w:val="none"/>
        </w:rPr>
        <w:t>供应商须一次性提供响应文件中所有提供复印件的原件（除身份证、具有二维码的营业执照和资质证书、网上截图和已提供承诺书原件的以外）备查。</w:t>
      </w:r>
    </w:p>
    <w:p>
      <w:pPr>
        <w:pStyle w:val="4"/>
        <w:spacing w:line="400" w:lineRule="exact"/>
        <w:ind w:firstLine="480" w:firstLineChars="200"/>
        <w:rPr>
          <w:rFonts w:ascii="方正仿宋_GBK" w:eastAsia="方正仿宋_GBK"/>
          <w:b/>
          <w:color w:val="auto"/>
          <w:sz w:val="24"/>
          <w:szCs w:val="24"/>
          <w:highlight w:val="none"/>
        </w:rPr>
      </w:pPr>
      <w:r>
        <w:rPr>
          <w:rFonts w:hint="eastAsia" w:ascii="方正仿宋_GBK" w:eastAsia="方正仿宋_GBK"/>
          <w:b/>
          <w:color w:val="auto"/>
          <w:sz w:val="24"/>
          <w:szCs w:val="24"/>
          <w:highlight w:val="none"/>
        </w:rPr>
        <w:t>三、无效投标条款</w:t>
      </w:r>
      <w:bookmarkEnd w:id="50"/>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供应商或其响应文件出现下列情况之一者，应为无效投标：</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（一）供应商未按竞争性磋商文件规定提交足额投标保证金的；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（二）供应商未通过资格性检查或响应文件未通过符合性检查的；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（三）供应商超出其营业执照或事业单位法人证书上经营范围（业务范围）投标的；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ascii="方正仿宋_GBK" w:hAnsi="宋体" w:eastAsia="方正仿宋_GBK"/>
          <w:color w:val="auto"/>
          <w:sz w:val="24"/>
          <w:szCs w:val="24"/>
          <w:highlight w:val="none"/>
        </w:rPr>
        <w:t>单位负责人为同一人或者存在直接控股、管理关系的不同供应商，不得参加同一合同项下的政府采购活动</w:t>
      </w:r>
      <w:r>
        <w:rPr>
          <w:rFonts w:hint="eastAsia" w:ascii="方正仿宋_GBK" w:hAnsi="宋体" w:eastAsia="方正仿宋_GBK"/>
          <w:color w:val="auto"/>
          <w:sz w:val="24"/>
          <w:szCs w:val="24"/>
          <w:highlight w:val="none"/>
        </w:rPr>
        <w:t>，</w:t>
      </w:r>
      <w:r>
        <w:rPr>
          <w:rFonts w:hint="eastAsia" w:ascii="方正仿宋_GBK" w:eastAsia="方正仿宋_GBK"/>
          <w:color w:val="auto"/>
          <w:sz w:val="24"/>
          <w:szCs w:val="24"/>
          <w:highlight w:val="none"/>
        </w:rPr>
        <w:t>上述供应商的投标均无效；</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w:t>
      </w:r>
      <w:r>
        <w:rPr>
          <w:rFonts w:ascii="方正仿宋_GBK" w:hAnsi="宋体" w:eastAsia="方正仿宋_GBK"/>
          <w:color w:val="auto"/>
          <w:sz w:val="24"/>
          <w:szCs w:val="24"/>
          <w:highlight w:val="none"/>
        </w:rPr>
        <w:t>为采购项目提供整体设计、规范编制或者项目管理、监理、检测等服务的供应商，再参加该采购项目的其他采购活动</w:t>
      </w:r>
      <w:r>
        <w:rPr>
          <w:rFonts w:hint="eastAsia" w:ascii="方正仿宋_GBK" w:hAnsi="宋体" w:eastAsia="方正仿宋_GBK"/>
          <w:color w:val="auto"/>
          <w:sz w:val="24"/>
          <w:szCs w:val="24"/>
          <w:highlight w:val="none"/>
        </w:rPr>
        <w:t>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（六）同一分包的货物，制造商参与投标，再委托代理商参与投标的；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（七）响应文件未按照竞争性磋商文件第七篇响应文件格式中所规定签字、盖章的；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（八）响应文件出现多个投标方案或投标报价的；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（九）投标报价超出竞争性磋商文件规定的采购预算的；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（十）投标产品不符合必须强制执行的国家标准的；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（十一）供应商的交货期（或为：实施时间）、质量保证期及投标有效期不满足竞争性磋商文件要求的；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（十二）响应文件含有违反国家法律、法规的内容，或附有采购人不能接受的条件的。</w:t>
      </w:r>
    </w:p>
    <w:p>
      <w:pPr>
        <w:pStyle w:val="4"/>
        <w:spacing w:line="400" w:lineRule="exact"/>
        <w:ind w:firstLine="480" w:firstLineChars="200"/>
        <w:rPr>
          <w:rFonts w:ascii="方正仿宋_GBK" w:eastAsia="方正仿宋_GBK"/>
          <w:b/>
          <w:color w:val="auto"/>
          <w:sz w:val="24"/>
          <w:szCs w:val="24"/>
          <w:highlight w:val="none"/>
        </w:rPr>
      </w:pPr>
      <w:bookmarkStart w:id="51" w:name="_Toc452024168"/>
      <w:r>
        <w:rPr>
          <w:rFonts w:hint="eastAsia" w:ascii="方正仿宋_GBK" w:eastAsia="方正仿宋_GBK"/>
          <w:b/>
          <w:color w:val="auto"/>
          <w:sz w:val="24"/>
          <w:szCs w:val="24"/>
          <w:highlight w:val="none"/>
        </w:rPr>
        <w:t>四、废标条款</w:t>
      </w:r>
      <w:bookmarkEnd w:id="51"/>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磋商小组评审时出现以下情况之一的，应予废标：</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一</w:t>
      </w:r>
      <w:r>
        <w:rPr>
          <w:rFonts w:hint="eastAsia" w:ascii="方正仿宋_GBK" w:hAnsi="宋体" w:eastAsia="方正仿宋_GBK"/>
          <w:color w:val="auto"/>
          <w:sz w:val="24"/>
          <w:szCs w:val="24"/>
          <w:highlight w:val="none"/>
        </w:rPr>
        <w:t>）供应商的报价均超过了采购预算，采购人不能支付的；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）出现影响采购公正的违法、违规行为的；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三</w:t>
      </w:r>
      <w:r>
        <w:rPr>
          <w:rFonts w:hint="eastAsia" w:ascii="方正仿宋_GBK" w:hAnsi="宋体" w:eastAsia="方正仿宋_GBK"/>
          <w:color w:val="auto"/>
          <w:sz w:val="24"/>
          <w:szCs w:val="24"/>
          <w:highlight w:val="none"/>
        </w:rPr>
        <w:t>）因重大变故，采购任务取消的。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废标后，除采购任务取消情形外，应当重新组织采购。</w:t>
      </w:r>
    </w:p>
    <w:p>
      <w:pPr>
        <w:pStyle w:val="3"/>
        <w:spacing w:beforeLines="0" w:afterLines="0" w:line="360" w:lineRule="auto"/>
        <w:rPr>
          <w:rFonts w:ascii="方正小标宋_GBK" w:eastAsia="方正小标宋_GBK"/>
          <w:color w:val="auto"/>
          <w:highlight w:val="none"/>
        </w:rPr>
      </w:pPr>
      <w:r>
        <w:rPr>
          <w:rFonts w:ascii="宋体" w:hAnsi="宋体" w:eastAsia="宋体"/>
          <w:color w:val="auto"/>
          <w:sz w:val="28"/>
          <w:highlight w:val="none"/>
        </w:rPr>
        <w:br w:type="page"/>
      </w:r>
      <w:bookmarkStart w:id="52" w:name="_Toc16529"/>
      <w:bookmarkStart w:id="53" w:name="_Toc777_WPSOffice_Level1"/>
      <w:bookmarkStart w:id="54" w:name="_Toc12991"/>
      <w:bookmarkStart w:id="55" w:name="_Toc452024169"/>
      <w:r>
        <w:rPr>
          <w:rFonts w:hint="eastAsia" w:ascii="方正小标宋_GBK" w:eastAsia="方正小标宋_GBK"/>
          <w:color w:val="auto"/>
          <w:highlight w:val="none"/>
        </w:rPr>
        <w:t>第五篇  供应商须知</w:t>
      </w:r>
      <w:bookmarkEnd w:id="52"/>
      <w:bookmarkEnd w:id="53"/>
      <w:bookmarkEnd w:id="54"/>
      <w:bookmarkEnd w:id="55"/>
    </w:p>
    <w:p>
      <w:pPr>
        <w:pStyle w:val="4"/>
        <w:spacing w:line="400" w:lineRule="exact"/>
        <w:ind w:firstLine="480" w:firstLineChars="200"/>
        <w:rPr>
          <w:rFonts w:ascii="方正仿宋_GBK" w:eastAsia="方正仿宋_GBK"/>
          <w:b/>
          <w:color w:val="auto"/>
          <w:sz w:val="24"/>
          <w:highlight w:val="none"/>
        </w:rPr>
      </w:pPr>
      <w:bookmarkStart w:id="56" w:name="_Toc452024170"/>
      <w:r>
        <w:rPr>
          <w:rFonts w:hint="eastAsia" w:ascii="方正仿宋_GBK" w:eastAsia="方正仿宋_GBK"/>
          <w:b/>
          <w:color w:val="auto"/>
          <w:sz w:val="24"/>
          <w:highlight w:val="none"/>
        </w:rPr>
        <w:t>一、</w:t>
      </w:r>
      <w:bookmarkEnd w:id="56"/>
      <w:r>
        <w:rPr>
          <w:rFonts w:hint="eastAsia" w:ascii="方正仿宋_GBK" w:eastAsia="方正仿宋_GBK"/>
          <w:b/>
          <w:color w:val="auto"/>
          <w:sz w:val="24"/>
          <w:highlight w:val="none"/>
        </w:rPr>
        <w:t>供应商</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1、合格供应商条件</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合格供应商应完全符合竞争性磋商文件第一篇中规定的供应商资格条件，并对竞争性磋商文件作出实质性响应。</w:t>
      </w:r>
    </w:p>
    <w:p>
      <w:pPr>
        <w:snapToGrid w:val="0"/>
        <w:spacing w:line="4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2、供应商的风险</w:t>
      </w:r>
    </w:p>
    <w:p>
      <w:pPr>
        <w:snapToGrid w:val="0"/>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供应商没有按照竞争性磋商文件要求提供全部资料，或者供应商没有对竞争性磋商文件在各方面作出实质性响应，可能导致投标被拒绝或评定为无效投标。</w:t>
      </w:r>
    </w:p>
    <w:p>
      <w:pPr>
        <w:pStyle w:val="4"/>
        <w:spacing w:line="400" w:lineRule="exact"/>
        <w:ind w:firstLine="480" w:firstLineChars="200"/>
        <w:rPr>
          <w:rFonts w:ascii="方正仿宋_GBK" w:eastAsia="方正仿宋_GBK"/>
          <w:b/>
          <w:color w:val="auto"/>
          <w:sz w:val="24"/>
          <w:highlight w:val="none"/>
        </w:rPr>
      </w:pPr>
      <w:bookmarkStart w:id="57" w:name="_Toc452024171"/>
      <w:r>
        <w:rPr>
          <w:rFonts w:hint="eastAsia" w:ascii="方正仿宋_GBK" w:eastAsia="方正仿宋_GBK"/>
          <w:b/>
          <w:color w:val="auto"/>
          <w:sz w:val="24"/>
          <w:highlight w:val="none"/>
        </w:rPr>
        <w:t>二、</w:t>
      </w:r>
      <w:bookmarkEnd w:id="57"/>
      <w:r>
        <w:rPr>
          <w:rFonts w:hint="eastAsia" w:ascii="方正仿宋_GBK" w:eastAsia="方正仿宋_GBK"/>
          <w:b/>
          <w:color w:val="auto"/>
          <w:sz w:val="24"/>
          <w:highlight w:val="none"/>
        </w:rPr>
        <w:t>竞争性磋商文件</w:t>
      </w:r>
    </w:p>
    <w:p>
      <w:pPr>
        <w:snapToGrid w:val="0"/>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竞争性磋商文件是供应商编制响应文件的依据，是磋商小组评判依据和标准。竞争性磋商文件也是采购人与成交供应商签订合同的基础。</w:t>
      </w:r>
    </w:p>
    <w:p>
      <w:pPr>
        <w:snapToGrid w:val="0"/>
        <w:spacing w:line="400" w:lineRule="exact"/>
        <w:ind w:firstLine="480" w:firstLineChars="200"/>
        <w:rPr>
          <w:rFonts w:ascii="方正仿宋_GBK" w:eastAsia="方正仿宋_GBK"/>
          <w:color w:val="auto"/>
          <w:sz w:val="24"/>
          <w:highlight w:val="none"/>
        </w:rPr>
      </w:pPr>
      <w:r>
        <w:rPr>
          <w:rFonts w:hint="eastAsia" w:ascii="方正仿宋_GBK" w:hAnsi="宋体" w:eastAsia="方正仿宋_GBK"/>
          <w:color w:val="auto"/>
          <w:sz w:val="24"/>
          <w:highlight w:val="none"/>
        </w:rPr>
        <w:t>（一）</w:t>
      </w:r>
      <w:r>
        <w:rPr>
          <w:rFonts w:hint="eastAsia" w:ascii="方正仿宋_GBK" w:eastAsia="方正仿宋_GBK"/>
          <w:color w:val="auto"/>
          <w:sz w:val="24"/>
          <w:highlight w:val="none"/>
        </w:rPr>
        <w:t>竞争性磋商文件由投标邀请书；项目技术规格、数量及质量要求；项目商务条款；评标方法、评标标准、无效投标条款和废标条款；供应商须知；合同主要条款和格式合同（样本）；响应文件格式等七部分组成。</w:t>
      </w:r>
    </w:p>
    <w:p>
      <w:pPr>
        <w:snapToGrid w:val="0"/>
        <w:spacing w:line="400" w:lineRule="exact"/>
        <w:ind w:firstLine="480"/>
        <w:rPr>
          <w:rFonts w:hint="eastAsia" w:ascii="方正仿宋_GBK" w:hAnsi="方正仿宋_GBK" w:eastAsia="方正仿宋_GBK"/>
          <w:color w:val="auto"/>
          <w:sz w:val="24"/>
          <w:highlight w:val="none"/>
        </w:rPr>
      </w:pPr>
      <w:r>
        <w:rPr>
          <w:rFonts w:hint="eastAsia" w:ascii="方正仿宋_GBK" w:hAnsi="宋体" w:eastAsia="方正仿宋_GBK"/>
          <w:color w:val="auto"/>
          <w:sz w:val="24"/>
          <w:szCs w:val="28"/>
          <w:highlight w:val="none"/>
        </w:rPr>
        <w:t>（二）</w:t>
      </w:r>
      <w:r>
        <w:rPr>
          <w:rFonts w:hint="eastAsia" w:ascii="方正仿宋_GBK" w:hAnsi="方正仿宋_GBK" w:eastAsia="方正仿宋_GBK"/>
          <w:color w:val="auto"/>
          <w:sz w:val="24"/>
          <w:highlight w:val="none"/>
        </w:rPr>
        <w:t>采购代理机构对竞争性磋商文件所作的一切有效的书面通知、修改及补充，都是竞争性磋商文件不可分割的部分。</w:t>
      </w:r>
    </w:p>
    <w:p>
      <w:pPr>
        <w:spacing w:line="440" w:lineRule="exact"/>
        <w:ind w:firstLine="480" w:firstLineChars="200"/>
        <w:jc w:val="left"/>
        <w:rPr>
          <w:rFonts w:hint="eastAsia" w:ascii="宋体" w:hAnsi="宋体"/>
          <w:color w:val="auto"/>
          <w:sz w:val="24"/>
          <w:highlight w:val="none"/>
          <w:lang w:eastAsia="zh-CN"/>
        </w:rPr>
      </w:pPr>
      <w:r>
        <w:rPr>
          <w:rFonts w:hint="eastAsia" w:ascii="方正仿宋_GBK" w:hAnsi="宋体" w:eastAsia="方正仿宋_GBK"/>
          <w:color w:val="auto"/>
          <w:sz w:val="24"/>
          <w:szCs w:val="28"/>
          <w:highlight w:val="none"/>
          <w:lang w:eastAsia="zh-CN"/>
        </w:rPr>
        <w:t>（三）</w:t>
      </w:r>
      <w:r>
        <w:rPr>
          <w:rFonts w:hint="eastAsia" w:ascii="宋体" w:hAnsi="宋体"/>
          <w:color w:val="auto"/>
          <w:sz w:val="24"/>
          <w:highlight w:val="none"/>
          <w:lang w:eastAsia="zh-CN"/>
        </w:rPr>
        <w:t>质疑、答疑截止时间</w:t>
      </w:r>
    </w:p>
    <w:p>
      <w:pPr>
        <w:snapToGrid w:val="0"/>
        <w:spacing w:line="400" w:lineRule="exact"/>
        <w:ind w:firstLine="480"/>
        <w:rPr>
          <w:rFonts w:hint="eastAsia" w:ascii="方正仿宋_GBK" w:hAnsi="方正仿宋_GBK" w:eastAsia="方正仿宋_GBK"/>
          <w:color w:val="auto"/>
          <w:sz w:val="24"/>
          <w:szCs w:val="22"/>
          <w:highlight w:val="none"/>
          <w:lang w:eastAsia="zh-CN"/>
        </w:rPr>
      </w:pPr>
      <w:r>
        <w:rPr>
          <w:rFonts w:hint="eastAsia" w:ascii="方正仿宋_GBK" w:hAnsi="方正仿宋_GBK" w:eastAsia="方正仿宋_GBK"/>
          <w:color w:val="auto"/>
          <w:sz w:val="24"/>
          <w:szCs w:val="22"/>
          <w:highlight w:val="none"/>
          <w:lang w:val="en-US" w:eastAsia="zh-CN"/>
        </w:rPr>
        <w:t>1、</w:t>
      </w:r>
      <w:r>
        <w:rPr>
          <w:rFonts w:hint="eastAsia" w:ascii="方正仿宋_GBK" w:hAnsi="方正仿宋_GBK" w:eastAsia="方正仿宋_GBK"/>
          <w:color w:val="auto"/>
          <w:sz w:val="24"/>
          <w:szCs w:val="22"/>
          <w:highlight w:val="none"/>
          <w:lang w:eastAsia="zh-CN"/>
        </w:rPr>
        <w:t>供应商</w:t>
      </w:r>
      <w:r>
        <w:rPr>
          <w:rFonts w:hint="eastAsia" w:ascii="方正仿宋_GBK" w:hAnsi="方正仿宋_GBK" w:eastAsia="方正仿宋_GBK"/>
          <w:color w:val="auto"/>
          <w:sz w:val="24"/>
          <w:szCs w:val="22"/>
          <w:highlight w:val="none"/>
        </w:rPr>
        <w:t>质疑</w:t>
      </w:r>
      <w:r>
        <w:rPr>
          <w:rFonts w:hint="eastAsia" w:ascii="方正仿宋_GBK" w:hAnsi="方正仿宋_GBK" w:eastAsia="方正仿宋_GBK"/>
          <w:color w:val="auto"/>
          <w:sz w:val="24"/>
          <w:szCs w:val="22"/>
          <w:highlight w:val="none"/>
          <w:lang w:eastAsia="zh-CN"/>
        </w:rPr>
        <w:t>竞争性磋商</w:t>
      </w:r>
      <w:r>
        <w:rPr>
          <w:rFonts w:hint="eastAsia" w:ascii="方正仿宋_GBK" w:hAnsi="方正仿宋_GBK" w:eastAsia="方正仿宋_GBK"/>
          <w:color w:val="auto"/>
          <w:sz w:val="24"/>
          <w:szCs w:val="22"/>
          <w:highlight w:val="none"/>
        </w:rPr>
        <w:t>文件的截止时间：</w:t>
      </w:r>
      <w:r>
        <w:rPr>
          <w:rFonts w:hint="eastAsia" w:ascii="方正仿宋_GBK" w:hAnsi="方正仿宋_GBK" w:eastAsia="方正仿宋_GBK"/>
          <w:color w:val="auto"/>
          <w:sz w:val="24"/>
          <w:szCs w:val="22"/>
          <w:highlight w:val="none"/>
          <w:lang w:eastAsia="zh-CN"/>
        </w:rPr>
        <w:t>供应商</w:t>
      </w:r>
      <w:r>
        <w:rPr>
          <w:rFonts w:hint="eastAsia" w:ascii="方正仿宋_GBK" w:hAnsi="方正仿宋_GBK" w:eastAsia="方正仿宋_GBK"/>
          <w:color w:val="auto"/>
          <w:sz w:val="24"/>
          <w:szCs w:val="22"/>
          <w:highlight w:val="none"/>
        </w:rPr>
        <w:t>在收到</w:t>
      </w:r>
      <w:r>
        <w:rPr>
          <w:rFonts w:hint="eastAsia" w:ascii="方正仿宋_GBK" w:hAnsi="方正仿宋_GBK" w:eastAsia="方正仿宋_GBK"/>
          <w:color w:val="auto"/>
          <w:sz w:val="24"/>
          <w:szCs w:val="22"/>
          <w:highlight w:val="none"/>
          <w:lang w:eastAsia="zh-CN"/>
        </w:rPr>
        <w:t>竞争性磋商</w:t>
      </w:r>
      <w:r>
        <w:rPr>
          <w:rFonts w:hint="eastAsia" w:ascii="方正仿宋_GBK" w:hAnsi="方正仿宋_GBK" w:eastAsia="方正仿宋_GBK"/>
          <w:color w:val="auto"/>
          <w:sz w:val="24"/>
          <w:szCs w:val="22"/>
          <w:highlight w:val="none"/>
        </w:rPr>
        <w:t>文件及</w:t>
      </w:r>
      <w:r>
        <w:rPr>
          <w:rFonts w:hint="eastAsia" w:ascii="方正仿宋_GBK" w:hAnsi="方正仿宋_GBK" w:eastAsia="方正仿宋_GBK"/>
          <w:color w:val="auto"/>
          <w:sz w:val="24"/>
          <w:szCs w:val="22"/>
          <w:highlight w:val="none"/>
          <w:lang w:eastAsia="zh-CN"/>
        </w:rPr>
        <w:t>磋商</w:t>
      </w:r>
      <w:r>
        <w:rPr>
          <w:rFonts w:hint="eastAsia" w:ascii="方正仿宋_GBK" w:hAnsi="方正仿宋_GBK" w:eastAsia="方正仿宋_GBK"/>
          <w:color w:val="auto"/>
          <w:sz w:val="24"/>
          <w:szCs w:val="22"/>
          <w:highlight w:val="none"/>
        </w:rPr>
        <w:t>相关资料后，应仔细检查</w:t>
      </w:r>
      <w:r>
        <w:rPr>
          <w:rFonts w:hint="eastAsia" w:ascii="方正仿宋_GBK" w:hAnsi="方正仿宋_GBK" w:eastAsia="方正仿宋_GBK"/>
          <w:color w:val="auto"/>
          <w:sz w:val="24"/>
          <w:szCs w:val="22"/>
          <w:highlight w:val="none"/>
          <w:lang w:eastAsia="zh-CN"/>
        </w:rPr>
        <w:t>竞争性磋商</w:t>
      </w:r>
      <w:r>
        <w:rPr>
          <w:rFonts w:hint="eastAsia" w:ascii="方正仿宋_GBK" w:hAnsi="方正仿宋_GBK" w:eastAsia="方正仿宋_GBK"/>
          <w:color w:val="auto"/>
          <w:sz w:val="24"/>
          <w:szCs w:val="22"/>
          <w:highlight w:val="none"/>
        </w:rPr>
        <w:t>文件的所有内容，如有残缺或文字表述不清，图纸尺寸标注不明以及存在错、碰、漏、缺、概念模糊和有可能出现歧义或理解上的偏差的内容等应在</w:t>
      </w:r>
      <w:r>
        <w:rPr>
          <w:rFonts w:hint="eastAsia" w:ascii="方正仿宋_GBK" w:hAnsi="方正仿宋_GBK" w:eastAsia="方正仿宋_GBK"/>
          <w:color w:val="auto"/>
          <w:sz w:val="24"/>
          <w:szCs w:val="22"/>
          <w:highlight w:val="none"/>
          <w:u w:val="single"/>
          <w:lang w:val="en-US" w:eastAsia="zh-CN"/>
        </w:rPr>
        <w:t>2018</w:t>
      </w:r>
      <w:r>
        <w:rPr>
          <w:rFonts w:hint="eastAsia" w:ascii="方正仿宋_GBK" w:hAnsi="方正仿宋_GBK" w:eastAsia="方正仿宋_GBK"/>
          <w:color w:val="auto"/>
          <w:sz w:val="24"/>
          <w:szCs w:val="22"/>
          <w:highlight w:val="none"/>
        </w:rPr>
        <w:t>年</w:t>
      </w:r>
      <w:r>
        <w:rPr>
          <w:rFonts w:hint="eastAsia" w:ascii="方正仿宋_GBK" w:hAnsi="方正仿宋_GBK" w:eastAsia="方正仿宋_GBK"/>
          <w:color w:val="auto"/>
          <w:sz w:val="24"/>
          <w:szCs w:val="22"/>
          <w:highlight w:val="none"/>
          <w:u w:val="single"/>
          <w:lang w:val="en-US" w:eastAsia="zh-CN"/>
        </w:rPr>
        <w:t>7</w:t>
      </w:r>
      <w:r>
        <w:rPr>
          <w:rFonts w:hint="eastAsia" w:ascii="方正仿宋_GBK" w:hAnsi="方正仿宋_GBK" w:eastAsia="方正仿宋_GBK"/>
          <w:color w:val="auto"/>
          <w:sz w:val="24"/>
          <w:szCs w:val="22"/>
          <w:highlight w:val="none"/>
        </w:rPr>
        <w:t>月</w:t>
      </w:r>
      <w:r>
        <w:rPr>
          <w:rFonts w:hint="eastAsia" w:ascii="方正仿宋_GBK" w:hAnsi="方正仿宋_GBK" w:eastAsia="方正仿宋_GBK"/>
          <w:color w:val="auto"/>
          <w:sz w:val="24"/>
          <w:szCs w:val="22"/>
          <w:highlight w:val="none"/>
          <w:u w:val="single"/>
          <w:lang w:val="en-US" w:eastAsia="zh-CN"/>
        </w:rPr>
        <w:t>13</w:t>
      </w:r>
      <w:r>
        <w:rPr>
          <w:rFonts w:hint="eastAsia" w:ascii="方正仿宋_GBK" w:hAnsi="方正仿宋_GBK" w:eastAsia="方正仿宋_GBK"/>
          <w:color w:val="auto"/>
          <w:sz w:val="24"/>
          <w:szCs w:val="22"/>
          <w:highlight w:val="none"/>
        </w:rPr>
        <w:t>日17:00时前以书面方式送至</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代理机构（</w:t>
      </w:r>
      <w:r>
        <w:rPr>
          <w:rFonts w:hint="eastAsia" w:ascii="方正仿宋_GBK" w:hAnsi="方正仿宋_GBK" w:eastAsia="方正仿宋_GBK"/>
          <w:color w:val="auto"/>
          <w:sz w:val="24"/>
          <w:szCs w:val="22"/>
          <w:highlight w:val="none"/>
          <w:lang w:eastAsia="zh-CN"/>
        </w:rPr>
        <w:t>地点：</w:t>
      </w:r>
      <w:r>
        <w:rPr>
          <w:rFonts w:hint="eastAsia" w:ascii="方正仿宋_GBK" w:hAnsi="方正仿宋_GBK" w:eastAsia="方正仿宋_GBK"/>
          <w:color w:val="auto"/>
          <w:sz w:val="24"/>
          <w:szCs w:val="22"/>
          <w:highlight w:val="none"/>
        </w:rPr>
        <w:t>重庆市渝北区东湖南路333号中渝爱都会国际中心2幢25楼</w:t>
      </w:r>
      <w:r>
        <w:rPr>
          <w:rFonts w:hint="eastAsia" w:ascii="方正仿宋_GBK" w:hAnsi="方正仿宋_GBK" w:eastAsia="方正仿宋_GBK"/>
          <w:color w:val="auto"/>
          <w:sz w:val="24"/>
          <w:szCs w:val="22"/>
          <w:highlight w:val="none"/>
          <w:lang w:eastAsia="zh-CN"/>
        </w:rPr>
        <w:t>，</w:t>
      </w:r>
      <w:r>
        <w:rPr>
          <w:rFonts w:hint="eastAsia" w:ascii="方正仿宋_GBK" w:hAnsi="方正仿宋_GBK" w:eastAsia="方正仿宋_GBK"/>
          <w:color w:val="auto"/>
          <w:sz w:val="24"/>
          <w:szCs w:val="22"/>
          <w:highlight w:val="none"/>
        </w:rPr>
        <w:t>联系人：何老师</w:t>
      </w:r>
      <w:r>
        <w:rPr>
          <w:rFonts w:hint="eastAsia" w:ascii="方正仿宋_GBK" w:hAnsi="方正仿宋_GBK" w:eastAsia="方正仿宋_GBK"/>
          <w:color w:val="auto"/>
          <w:sz w:val="24"/>
          <w:szCs w:val="22"/>
          <w:highlight w:val="none"/>
          <w:lang w:eastAsia="zh-CN"/>
        </w:rPr>
        <w:t>，联系电话：</w:t>
      </w:r>
      <w:r>
        <w:rPr>
          <w:rFonts w:hint="eastAsia" w:ascii="方正仿宋_GBK" w:hAnsi="方正仿宋_GBK" w:eastAsia="方正仿宋_GBK"/>
          <w:color w:val="auto"/>
          <w:sz w:val="24"/>
          <w:szCs w:val="22"/>
          <w:highlight w:val="none"/>
        </w:rPr>
        <w:t>023-63082043）。超出规定时间提出的，</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人及</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代理机构人将不做任何形式的答疑。</w:t>
      </w:r>
    </w:p>
    <w:p>
      <w:pPr>
        <w:snapToGrid w:val="0"/>
        <w:spacing w:line="400" w:lineRule="exact"/>
        <w:rPr>
          <w:rFonts w:ascii="方正仿宋_GBK" w:hAnsi="方正仿宋_GBK" w:eastAsia="方正仿宋_GBK"/>
          <w:color w:val="auto"/>
          <w:sz w:val="24"/>
          <w:highlight w:val="none"/>
        </w:rPr>
      </w:pPr>
      <w:r>
        <w:rPr>
          <w:rFonts w:hint="eastAsia" w:ascii="方正仿宋_GBK" w:hAnsi="方正仿宋_GBK" w:eastAsia="方正仿宋_GBK"/>
          <w:color w:val="auto"/>
          <w:sz w:val="24"/>
          <w:szCs w:val="22"/>
          <w:highlight w:val="none"/>
          <w:lang w:val="en-US" w:eastAsia="zh-CN"/>
        </w:rPr>
        <w:t xml:space="preserve">    2、</w:t>
      </w:r>
      <w:r>
        <w:rPr>
          <w:rFonts w:hint="eastAsia" w:ascii="方正仿宋_GBK" w:hAnsi="方正仿宋_GBK" w:eastAsia="方正仿宋_GBK"/>
          <w:color w:val="auto"/>
          <w:sz w:val="24"/>
          <w:szCs w:val="22"/>
          <w:highlight w:val="none"/>
          <w:lang w:eastAsia="zh-CN"/>
        </w:rPr>
        <w:t>采购人</w:t>
      </w:r>
      <w:r>
        <w:rPr>
          <w:rFonts w:hint="eastAsia" w:ascii="方正仿宋_GBK" w:hAnsi="方正仿宋_GBK" w:eastAsia="方正仿宋_GBK"/>
          <w:color w:val="auto"/>
          <w:sz w:val="24"/>
          <w:szCs w:val="22"/>
          <w:highlight w:val="none"/>
        </w:rPr>
        <w:t>对</w:t>
      </w:r>
      <w:r>
        <w:rPr>
          <w:rFonts w:hint="eastAsia" w:ascii="方正仿宋_GBK" w:hAnsi="方正仿宋_GBK" w:eastAsia="方正仿宋_GBK"/>
          <w:color w:val="auto"/>
          <w:sz w:val="24"/>
          <w:szCs w:val="22"/>
          <w:highlight w:val="none"/>
          <w:lang w:eastAsia="zh-CN"/>
        </w:rPr>
        <w:t>竞争性磋商</w:t>
      </w:r>
      <w:r>
        <w:rPr>
          <w:rFonts w:hint="eastAsia" w:ascii="方正仿宋_GBK" w:hAnsi="方正仿宋_GBK" w:eastAsia="方正仿宋_GBK"/>
          <w:color w:val="auto"/>
          <w:sz w:val="24"/>
          <w:szCs w:val="22"/>
          <w:highlight w:val="none"/>
        </w:rPr>
        <w:t>文件澄清的截止时间：</w:t>
      </w:r>
      <w:r>
        <w:rPr>
          <w:rFonts w:hint="eastAsia" w:ascii="方正仿宋_GBK" w:hAnsi="方正仿宋_GBK" w:eastAsia="方正仿宋_GBK"/>
          <w:color w:val="auto"/>
          <w:sz w:val="24"/>
          <w:szCs w:val="22"/>
          <w:highlight w:val="none"/>
          <w:lang w:eastAsia="zh-CN"/>
        </w:rPr>
        <w:t>采购人</w:t>
      </w:r>
      <w:r>
        <w:rPr>
          <w:rFonts w:hint="eastAsia" w:ascii="方正仿宋_GBK" w:hAnsi="方正仿宋_GBK" w:eastAsia="方正仿宋_GBK"/>
          <w:color w:val="auto"/>
          <w:sz w:val="24"/>
          <w:szCs w:val="22"/>
          <w:highlight w:val="none"/>
        </w:rPr>
        <w:t>及</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代理机构应在</w:t>
      </w:r>
      <w:r>
        <w:rPr>
          <w:rFonts w:hint="eastAsia" w:ascii="方正仿宋_GBK" w:hAnsi="方正仿宋_GBK" w:eastAsia="方正仿宋_GBK"/>
          <w:color w:val="auto"/>
          <w:sz w:val="24"/>
          <w:szCs w:val="22"/>
          <w:highlight w:val="none"/>
          <w:u w:val="single"/>
          <w:lang w:val="en-US" w:eastAsia="zh-CN"/>
        </w:rPr>
        <w:t>2018</w:t>
      </w:r>
      <w:r>
        <w:rPr>
          <w:rFonts w:hint="eastAsia" w:ascii="方正仿宋_GBK" w:hAnsi="方正仿宋_GBK" w:eastAsia="方正仿宋_GBK"/>
          <w:color w:val="auto"/>
          <w:sz w:val="24"/>
          <w:szCs w:val="22"/>
          <w:highlight w:val="none"/>
        </w:rPr>
        <w:t>年</w:t>
      </w:r>
      <w:r>
        <w:rPr>
          <w:rFonts w:hint="eastAsia" w:ascii="方正仿宋_GBK" w:hAnsi="方正仿宋_GBK" w:eastAsia="方正仿宋_GBK"/>
          <w:color w:val="auto"/>
          <w:sz w:val="24"/>
          <w:szCs w:val="22"/>
          <w:highlight w:val="none"/>
          <w:u w:val="single"/>
          <w:lang w:val="en-US" w:eastAsia="zh-CN"/>
        </w:rPr>
        <w:t xml:space="preserve">   7</w:t>
      </w:r>
      <w:r>
        <w:rPr>
          <w:rFonts w:hint="eastAsia" w:ascii="方正仿宋_GBK" w:hAnsi="方正仿宋_GBK" w:eastAsia="方正仿宋_GBK"/>
          <w:color w:val="auto"/>
          <w:sz w:val="24"/>
          <w:szCs w:val="22"/>
          <w:highlight w:val="none"/>
        </w:rPr>
        <w:t>月</w:t>
      </w:r>
      <w:r>
        <w:rPr>
          <w:rFonts w:hint="eastAsia" w:ascii="方正仿宋_GBK" w:hAnsi="方正仿宋_GBK" w:eastAsia="方正仿宋_GBK"/>
          <w:color w:val="auto"/>
          <w:sz w:val="24"/>
          <w:szCs w:val="22"/>
          <w:highlight w:val="none"/>
          <w:u w:val="single"/>
          <w:lang w:val="en-US" w:eastAsia="zh-CN"/>
        </w:rPr>
        <w:t>16</w:t>
      </w:r>
      <w:r>
        <w:rPr>
          <w:rFonts w:hint="eastAsia" w:ascii="方正仿宋_GBK" w:hAnsi="方正仿宋_GBK" w:eastAsia="方正仿宋_GBK"/>
          <w:color w:val="auto"/>
          <w:sz w:val="24"/>
          <w:szCs w:val="22"/>
          <w:highlight w:val="none"/>
        </w:rPr>
        <w:t>日17:00时前对所有</w:t>
      </w:r>
      <w:r>
        <w:rPr>
          <w:rFonts w:hint="eastAsia" w:ascii="方正仿宋_GBK" w:hAnsi="方正仿宋_GBK" w:eastAsia="方正仿宋_GBK"/>
          <w:color w:val="auto"/>
          <w:sz w:val="24"/>
          <w:szCs w:val="22"/>
          <w:highlight w:val="none"/>
          <w:lang w:eastAsia="zh-CN"/>
        </w:rPr>
        <w:t>供应商</w:t>
      </w:r>
      <w:r>
        <w:rPr>
          <w:rFonts w:hint="eastAsia" w:ascii="方正仿宋_GBK" w:hAnsi="方正仿宋_GBK" w:eastAsia="方正仿宋_GBK"/>
          <w:color w:val="auto"/>
          <w:sz w:val="24"/>
          <w:szCs w:val="22"/>
          <w:highlight w:val="none"/>
        </w:rPr>
        <w:t>提出的问题进行回复</w:t>
      </w:r>
      <w:r>
        <w:rPr>
          <w:rFonts w:hint="eastAsia" w:ascii="方正仿宋_GBK" w:hAnsi="方正仿宋_GBK" w:eastAsia="方正仿宋_GBK"/>
          <w:color w:val="auto"/>
          <w:sz w:val="24"/>
          <w:szCs w:val="22"/>
          <w:highlight w:val="none"/>
          <w:lang w:eastAsia="zh-CN"/>
        </w:rPr>
        <w:t>，</w:t>
      </w:r>
      <w:r>
        <w:rPr>
          <w:rFonts w:hint="eastAsia" w:ascii="方正仿宋_GBK" w:hAnsi="宋体" w:eastAsia="方正仿宋_GBK"/>
          <w:color w:val="auto"/>
          <w:sz w:val="24"/>
          <w:szCs w:val="24"/>
          <w:highlight w:val="none"/>
        </w:rPr>
        <w:t>本项目的竞争性磋商文件、补遗文件（如果有）</w:t>
      </w:r>
      <w:r>
        <w:rPr>
          <w:rFonts w:hint="eastAsia" w:ascii="方正仿宋_GBK" w:hAnsi="宋体" w:eastAsia="方正仿宋_GBK"/>
          <w:color w:val="auto"/>
          <w:sz w:val="24"/>
          <w:szCs w:val="24"/>
          <w:highlight w:val="none"/>
          <w:lang w:eastAsia="zh-CN"/>
        </w:rPr>
        <w:t>和质疑回复（如有）</w:t>
      </w:r>
      <w:r>
        <w:rPr>
          <w:rFonts w:hint="eastAsia" w:ascii="方正仿宋_GBK" w:hAnsi="宋体" w:eastAsia="方正仿宋_GBK"/>
          <w:color w:val="auto"/>
          <w:sz w:val="24"/>
          <w:szCs w:val="24"/>
          <w:highlight w:val="none"/>
        </w:rPr>
        <w:t>一律在“四川外国语大学（www.sisu.edu.cn）”上发布，请各供应商注意下载；无论供应商下载与否，均视同供应商已知晓本项目竞争性磋商文件、补遗文件的内容。</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w:t>
      </w:r>
      <w:r>
        <w:rPr>
          <w:rFonts w:hint="eastAsia" w:ascii="方正仿宋_GBK" w:hAnsi="方正仿宋_GBK" w:eastAsia="方正仿宋_GBK"/>
          <w:color w:val="auto"/>
          <w:sz w:val="24"/>
          <w:highlight w:val="none"/>
          <w:lang w:eastAsia="zh-CN"/>
        </w:rPr>
        <w:t>四</w:t>
      </w:r>
      <w:r>
        <w:rPr>
          <w:rFonts w:hint="eastAsia" w:ascii="方正仿宋_GBK" w:hAnsi="方正仿宋_GBK" w:eastAsia="方正仿宋_GBK"/>
          <w:color w:val="auto"/>
          <w:sz w:val="24"/>
          <w:highlight w:val="none"/>
        </w:rPr>
        <w:t>）采购代理机构对已发出的竞争性磋商文件需要进行澄清或修改的，应以书面形式或公告形式通知所有竞争性磋商文件收受人。该澄清或者修改的内容为竞争性磋商文件的组成部分。</w:t>
      </w:r>
    </w:p>
    <w:p>
      <w:pPr>
        <w:pStyle w:val="4"/>
        <w:spacing w:line="400" w:lineRule="exact"/>
        <w:ind w:firstLine="480" w:firstLineChars="200"/>
        <w:rPr>
          <w:rFonts w:ascii="方正仿宋_GBK" w:eastAsia="方正仿宋_GBK"/>
          <w:b/>
          <w:color w:val="auto"/>
          <w:sz w:val="24"/>
          <w:highlight w:val="none"/>
        </w:rPr>
      </w:pPr>
      <w:bookmarkStart w:id="58" w:name="_Toc452024172"/>
      <w:r>
        <w:rPr>
          <w:rFonts w:hint="eastAsia" w:ascii="方正仿宋_GBK" w:eastAsia="方正仿宋_GBK"/>
          <w:b/>
          <w:color w:val="auto"/>
          <w:sz w:val="24"/>
          <w:highlight w:val="none"/>
        </w:rPr>
        <w:t>三、</w:t>
      </w:r>
      <w:bookmarkEnd w:id="58"/>
      <w:r>
        <w:rPr>
          <w:rFonts w:hint="eastAsia" w:ascii="方正仿宋_GBK" w:eastAsia="方正仿宋_GBK"/>
          <w:b/>
          <w:color w:val="auto"/>
          <w:sz w:val="24"/>
          <w:highlight w:val="none"/>
        </w:rPr>
        <w:t>响应文件</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供应商应当按照竞争性磋商文件的要求编制响应文件，并对竞争性磋商文件提出的要求和条件作出实质性响应。</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1）“经济部分”、“资格审查部分（含商务部分）”的装订要求：应按照响应文件规定格式分别装订成册，并应编制目录，并从目录开始逐页编制页码。</w:t>
      </w:r>
    </w:p>
    <w:p>
      <w:pPr>
        <w:spacing w:line="400" w:lineRule="exact"/>
        <w:ind w:firstLine="480" w:firstLineChars="200"/>
        <w:rPr>
          <w:rFonts w:ascii="方正仿宋_GBK" w:hAnsi="宋体" w:eastAsia="方正仿宋_GBK"/>
          <w:color w:val="auto"/>
          <w:sz w:val="24"/>
          <w:highlight w:val="none"/>
        </w:rPr>
      </w:pPr>
      <w:bookmarkStart w:id="59" w:name="OLE_LINK8"/>
      <w:r>
        <w:rPr>
          <w:rFonts w:hint="eastAsia" w:ascii="方正仿宋_GBK" w:hAnsi="宋体" w:eastAsia="方正仿宋_GBK"/>
          <w:color w:val="auto"/>
          <w:sz w:val="24"/>
          <w:highlight w:val="none"/>
        </w:rPr>
        <w:t>2）“监理大纲”的装订要求：</w:t>
      </w:r>
      <w:bookmarkEnd w:id="59"/>
      <w:r>
        <w:rPr>
          <w:rFonts w:hint="eastAsia" w:ascii="方正仿宋_GBK" w:hAnsi="宋体" w:eastAsia="方正仿宋_GBK"/>
          <w:color w:val="auto"/>
          <w:sz w:val="24"/>
          <w:highlight w:val="none"/>
        </w:rPr>
        <w:t>监理大纲采用暗标评审。监理大纲面页使用A4厚型白纸面页，封面用初号仿宋横向居中标明“监理大纲”（不含引号）在页面右下角加盖供应商单位公章后折叠成腰为8.5cm左右的等腰直角三角形密封，封底用A4白页纸，面页及整个监理大纲均不得显示与供应商企业有关的任何信息或明显标志；装订用白色棉线左侧装订（三孔眼）；不得使用塑料夹条、薄膜外皮等饰物或特别标（注）记；封面、封底不得明订明线。装订中不得有重页、漏页、倒页、残页、空白页（封底除外），章节不得有缺少或重复。违反上诉任何一项，其监理大纲得零分。监理大纲文字部分纸张采用A4白纸，四号仿宋字体,字体不能加粗；图表可采用A4或A3图幅；图表内的字号大小不限；文字、图表不得使用彩色、底色和不得编制页码、页眉和页脚。违反上诉任何一项，其监理大纲得零分。</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（一）响应文件组成</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响应文件由第七篇“响应文件格式”规定的部分和供应商所作的一切有效补充、修改和承诺等文件组成，供应商应按照第七篇“响应文件格式”规定的目录顺序组织编写和装订，</w:t>
      </w:r>
      <w:r>
        <w:rPr>
          <w:rFonts w:hint="eastAsia" w:ascii="方正仿宋_GBK" w:hAnsi="方正仿宋_GBK" w:eastAsia="方正仿宋_GBK"/>
          <w:color w:val="auto"/>
          <w:sz w:val="24"/>
          <w:highlight w:val="none"/>
        </w:rPr>
        <w:t>否则有可能影响评委对响应文件的评审。</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（二）联合投标</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本项目不接受联合体投标。</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（三）投标有效期</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投标有效期为投标截止日期后九十天内。</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（四）投标保证金</w:t>
      </w:r>
    </w:p>
    <w:p>
      <w:pPr>
        <w:tabs>
          <w:tab w:val="left" w:pos="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1、供应商应在投标截止时间前，按竞争性磋商文件第一篇规定缴纳投标保证金。</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2、投标保证金为投标的有效约束条件。</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3、投标保证金的有效期限在投标有效期</w:t>
      </w:r>
      <w:r>
        <w:rPr>
          <w:rFonts w:hint="eastAsia" w:ascii="方正仿宋_GBK" w:hAnsi="宋体" w:eastAsia="方正仿宋_GBK"/>
          <w:color w:val="auto"/>
          <w:sz w:val="24"/>
          <w:highlight w:val="none"/>
          <w:lang w:eastAsia="zh-CN"/>
        </w:rPr>
        <w:t>一致</w:t>
      </w:r>
      <w:r>
        <w:rPr>
          <w:rFonts w:hint="eastAsia" w:ascii="方正仿宋_GBK" w:hAnsi="宋体" w:eastAsia="方正仿宋_GBK"/>
          <w:color w:val="auto"/>
          <w:sz w:val="24"/>
          <w:highlight w:val="none"/>
        </w:rPr>
        <w:t>。</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4、投标保证金币种应与投标报价币种相同。</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5、采购人在《成交通知书》发出后五个工作日内无息退还未成交供应商的投标保证金；在采购合同签订后五个工作日无息退还成交供应商的投标保证金。</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6、供应商有下列情形之一的，投标保证金将不予退还：</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（1）供应商在投标有效期内撤回响应文件的；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（2）供应商未按规定提交履约保证金的；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（3）供应商在投标过程中弄虚作假，提供虚假材料的；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（4）成交供应商无正当理由不与采购人签订合同的；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（5）成交供应商将中标项目转让给他人或者在响应文件中未说明且未经采购人同意，将中标项目分包给他人的；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（6）成交供应商拒绝履行合同义务的；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（7）其他严重扰乱招投标程序的。</w:t>
      </w:r>
    </w:p>
    <w:p>
      <w:pPr>
        <w:snapToGrid w:val="0"/>
        <w:spacing w:line="400" w:lineRule="exact"/>
        <w:ind w:firstLine="470" w:firstLineChars="196"/>
        <w:jc w:val="left"/>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（五）响应文件的份数和签署</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1、响应文件的“经济部分”、“资格审查部分（含商务部分）”一式三份，其中正本一份，副本二份，须在封面清楚地标明“正本”或“副本”，副本应为正本的完整复印件，副本与正本不一致时以正本为准。</w:t>
      </w:r>
      <w:r>
        <w:rPr>
          <w:rFonts w:hint="eastAsia" w:ascii="方正仿宋_GBK" w:hAnsi="宋体" w:eastAsia="方正仿宋_GBK"/>
          <w:b/>
          <w:bCs/>
          <w:color w:val="auto"/>
          <w:sz w:val="24"/>
          <w:highlight w:val="none"/>
        </w:rPr>
        <w:t>“监理大纲”一式三份，不分正副本。</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2、在响应文件正本中，竞争性磋商文件第七篇响应文件格式中规定签字、盖章的地方必须按其规定签字、盖章。</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w:t>
      </w:r>
      <w:r>
        <w:rPr>
          <w:rFonts w:hint="eastAsia" w:ascii="方正仿宋_GBK" w:hAnsi="宋体" w:eastAsia="方正仿宋_GBK"/>
          <w:color w:val="auto"/>
          <w:sz w:val="24"/>
          <w:szCs w:val="28"/>
          <w:highlight w:val="none"/>
        </w:rPr>
        <w:t>法定代表人</w:t>
      </w:r>
      <w:r>
        <w:rPr>
          <w:rFonts w:hint="eastAsia" w:ascii="方正仿宋_GBK" w:hAnsi="宋体" w:eastAsia="方正仿宋_GBK"/>
          <w:color w:val="auto"/>
          <w:sz w:val="24"/>
          <w:highlight w:val="none"/>
        </w:rPr>
        <w:t>或</w:t>
      </w:r>
      <w:r>
        <w:rPr>
          <w:rFonts w:hint="eastAsia" w:ascii="方正仿宋_GBK" w:hAnsi="宋体" w:eastAsia="方正仿宋_GBK"/>
          <w:color w:val="auto"/>
          <w:sz w:val="24"/>
          <w:szCs w:val="28"/>
          <w:highlight w:val="none"/>
        </w:rPr>
        <w:t>法定代表人</w:t>
      </w:r>
      <w:r>
        <w:rPr>
          <w:rFonts w:hint="eastAsia" w:ascii="方正仿宋_GBK" w:hAnsi="宋体" w:eastAsia="方正仿宋_GBK"/>
          <w:color w:val="auto"/>
          <w:sz w:val="24"/>
          <w:highlight w:val="none"/>
        </w:rPr>
        <w:t>授权代表签字确认。监理大纲不允许修改。</w:t>
      </w:r>
    </w:p>
    <w:p>
      <w:pPr>
        <w:snapToGrid w:val="0"/>
        <w:spacing w:line="400" w:lineRule="exact"/>
        <w:ind w:firstLine="470" w:firstLineChars="196"/>
        <w:jc w:val="lef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pPr>
        <w:tabs>
          <w:tab w:val="left" w:pos="0"/>
        </w:tabs>
        <w:spacing w:line="400" w:lineRule="exact"/>
        <w:ind w:firstLine="480" w:firstLineChars="200"/>
        <w:rPr>
          <w:rFonts w:hint="eastAsia" w:ascii="方正仿宋_GBK" w:hAnsi="宋体" w:eastAsia="方正仿宋_GBK"/>
          <w:color w:val="auto"/>
          <w:sz w:val="24"/>
          <w:szCs w:val="28"/>
          <w:highlight w:val="none"/>
          <w:lang w:val="en-US" w:eastAsia="zh-CN"/>
        </w:rPr>
      </w:pPr>
      <w:r>
        <w:rPr>
          <w:rFonts w:hint="eastAsia" w:ascii="方正仿宋_GBK" w:hAnsi="宋体" w:eastAsia="方正仿宋_GBK"/>
          <w:color w:val="auto"/>
          <w:sz w:val="24"/>
          <w:szCs w:val="28"/>
          <w:highlight w:val="none"/>
          <w:lang w:val="en-US" w:eastAsia="zh-CN"/>
        </w:rPr>
        <w:t>5、若截止到响应文件递交截止时间，递交响应文件的供应商不足三家，应按法定程序开标和评标，并确定成交供应商。</w:t>
      </w:r>
    </w:p>
    <w:p>
      <w:pPr>
        <w:snapToGrid w:val="0"/>
        <w:spacing w:line="400" w:lineRule="exact"/>
        <w:ind w:firstLine="470" w:firstLineChars="196"/>
        <w:jc w:val="left"/>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（六）投标报价</w:t>
      </w:r>
    </w:p>
    <w:p>
      <w:pPr>
        <w:pStyle w:val="32"/>
        <w:spacing w:line="400" w:lineRule="exact"/>
        <w:ind w:firstLine="480" w:firstLineChars="20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1、供应商应严格按照“响应文件格式”中“开标一览表”和“分项报价明细表”的格式填写报价。</w:t>
      </w:r>
    </w:p>
    <w:p>
      <w:pPr>
        <w:snapToGrid w:val="0"/>
        <w:spacing w:line="400" w:lineRule="exact"/>
        <w:ind w:firstLine="480" w:firstLineChars="20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2、</w:t>
      </w:r>
      <w:r>
        <w:rPr>
          <w:rFonts w:hint="eastAsia" w:ascii="方正仿宋_GBK" w:hAnsi="宋体" w:eastAsia="方正仿宋_GBK"/>
          <w:color w:val="auto"/>
          <w:sz w:val="24"/>
          <w:szCs w:val="24"/>
          <w:highlight w:val="none"/>
        </w:rPr>
        <w:t>本次采购供应商可两次报价，第二次报价不得高于第一次报价，若供应商第二次报价不得高于第一次报价的，则第二次报价视为无效报价，以供应商第一次报价为最终报价。如参加磋商的供应商在第一次报价中已标注为最终不变价则不再进行二次报价。</w:t>
      </w:r>
    </w:p>
    <w:p>
      <w:pPr>
        <w:pStyle w:val="32"/>
        <w:spacing w:line="400" w:lineRule="exact"/>
        <w:ind w:firstLine="480" w:firstLineChars="20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3、本项目第一次投标报价，不唱标。</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（七）修正错误</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若响应文件出现计算或表达上的错误，修正错误的原则如下：</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1、开标一览表总价与投标报价明细表汇总数不一致的，</w:t>
      </w:r>
      <w:r>
        <w:rPr>
          <w:rFonts w:hint="eastAsia" w:ascii="方正仿宋_GBK" w:hAnsi="宋体" w:eastAsia="方正仿宋_GBK" w:cs="Arial"/>
          <w:color w:val="auto"/>
          <w:kern w:val="0"/>
          <w:sz w:val="24"/>
          <w:highlight w:val="none"/>
        </w:rPr>
        <w:t>以开标一览表为准；</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2、响应文件的大写金额和小写金额不一致的，以大写金额为准；</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3、总价金额与按单价汇总金额不一致的，以单价金额计算结果为准；</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4、单价金额小数点有明显错位的，应以总价为准，并修正单价；</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5、对不同文字文本响应文件的解释发生异议的，以中文文本为准。</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磋商小组按上述修正错误的原则及方法调整或修正供应商投标报价，供应商同意并签字确认后，调整后的投标报价对供应商具有约束作用。如果供应商不接受修正后的报价，则其投标将作为无效投标处理。</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（八）响应文件的递交</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1、响应文件的密封与标记</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1.1响应文件的“经济部分”、“资格审查部分（含商务部分）”及“监理大纲”均应密封送达投标地点，应在封套上注明项目名称、供应商名称。</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1.2封套的封口处应加盖供应商单位公章或由法定代表人授权代表签字。</w:t>
      </w:r>
    </w:p>
    <w:p>
      <w:pPr>
        <w:pStyle w:val="32"/>
        <w:spacing w:line="400" w:lineRule="exact"/>
        <w:ind w:firstLine="480" w:firstLineChars="200"/>
        <w:rPr>
          <w:rFonts w:ascii="方正仿宋_GBK" w:hAnsi="宋体" w:eastAsia="方正仿宋_GBK"/>
          <w:color w:val="auto"/>
          <w:sz w:val="24"/>
          <w:highlight w:val="none"/>
        </w:rPr>
      </w:pPr>
      <w:bookmarkStart w:id="60" w:name="_Toc452024173"/>
      <w:r>
        <w:rPr>
          <w:rFonts w:hint="eastAsia" w:ascii="方正仿宋_GBK" w:hAnsi="宋体" w:eastAsia="方正仿宋_GBK"/>
          <w:color w:val="auto"/>
          <w:sz w:val="24"/>
          <w:highlight w:val="none"/>
        </w:rPr>
        <w:t xml:space="preserve">2、响应文件用“经济部分”袋、“技术部分（监理大纲）”袋、“资格审查资料（含商务部分）”袋分别装袋密封。 </w:t>
      </w:r>
    </w:p>
    <w:p>
      <w:pPr>
        <w:pStyle w:val="32"/>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3、如果未按上述规定进行密封和标记，响应文件将不被接收。</w:t>
      </w:r>
    </w:p>
    <w:p>
      <w:pPr>
        <w:pStyle w:val="32"/>
        <w:spacing w:line="400" w:lineRule="exact"/>
        <w:ind w:firstLine="480" w:firstLineChars="200"/>
        <w:rPr>
          <w:rFonts w:hint="eastAsia" w:ascii="方正仿宋_GBK" w:hAnsi="宋体" w:eastAsia="方正仿宋_GBK"/>
          <w:color w:val="auto"/>
          <w:sz w:val="24"/>
          <w:szCs w:val="22"/>
          <w:highlight w:val="none"/>
          <w:lang w:eastAsia="zh-CN"/>
        </w:rPr>
      </w:pPr>
      <w:r>
        <w:rPr>
          <w:rFonts w:hint="eastAsia" w:ascii="方正仿宋_GBK" w:hAnsi="宋体" w:eastAsia="方正仿宋_GBK"/>
          <w:color w:val="auto"/>
          <w:sz w:val="24"/>
          <w:szCs w:val="22"/>
          <w:highlight w:val="none"/>
          <w:lang w:val="en-US" w:eastAsia="zh-CN"/>
        </w:rPr>
        <w:t>4、</w:t>
      </w:r>
      <w:r>
        <w:rPr>
          <w:rFonts w:hint="eastAsia" w:ascii="方正仿宋_GBK" w:hAnsi="宋体" w:eastAsia="方正仿宋_GBK"/>
          <w:color w:val="auto"/>
          <w:sz w:val="24"/>
          <w:szCs w:val="22"/>
          <w:highlight w:val="none"/>
          <w:lang w:eastAsia="zh-CN"/>
        </w:rPr>
        <w:t>响应</w:t>
      </w:r>
      <w:r>
        <w:rPr>
          <w:rFonts w:hint="eastAsia" w:ascii="方正仿宋_GBK" w:hAnsi="宋体" w:eastAsia="方正仿宋_GBK"/>
          <w:color w:val="auto"/>
          <w:sz w:val="24"/>
          <w:szCs w:val="22"/>
          <w:highlight w:val="none"/>
        </w:rPr>
        <w:t>文件语言：简体中文</w:t>
      </w:r>
      <w:r>
        <w:rPr>
          <w:rFonts w:hint="eastAsia" w:ascii="方正仿宋_GBK" w:hAnsi="宋体" w:eastAsia="方正仿宋_GBK"/>
          <w:color w:val="auto"/>
          <w:sz w:val="24"/>
          <w:szCs w:val="22"/>
          <w:highlight w:val="none"/>
          <w:lang w:eastAsia="zh-CN"/>
        </w:rPr>
        <w:t>。</w:t>
      </w:r>
    </w:p>
    <w:p>
      <w:pPr>
        <w:pStyle w:val="32"/>
        <w:spacing w:line="400" w:lineRule="exact"/>
        <w:ind w:firstLine="480" w:firstLineChars="200"/>
        <w:rPr>
          <w:rFonts w:hint="eastAsia" w:ascii="方正仿宋_GBK" w:hAnsi="宋体" w:eastAsia="方正仿宋_GBK"/>
          <w:color w:val="auto"/>
          <w:sz w:val="24"/>
          <w:szCs w:val="22"/>
          <w:highlight w:val="none"/>
        </w:rPr>
      </w:pPr>
      <w:r>
        <w:rPr>
          <w:rFonts w:hint="eastAsia" w:ascii="方正仿宋_GBK" w:hAnsi="宋体" w:eastAsia="方正仿宋_GBK"/>
          <w:color w:val="auto"/>
          <w:sz w:val="24"/>
          <w:szCs w:val="22"/>
          <w:highlight w:val="none"/>
          <w:lang w:val="en-US" w:eastAsia="zh-CN"/>
        </w:rPr>
        <w:t>5、</w:t>
      </w:r>
      <w:r>
        <w:rPr>
          <w:rFonts w:hint="eastAsia" w:ascii="方正仿宋_GBK" w:hAnsi="宋体" w:eastAsia="方正仿宋_GBK"/>
          <w:color w:val="auto"/>
          <w:sz w:val="24"/>
          <w:szCs w:val="22"/>
          <w:highlight w:val="none"/>
          <w:lang w:eastAsia="zh-CN"/>
        </w:rPr>
        <w:t>供应商</w:t>
      </w:r>
      <w:r>
        <w:rPr>
          <w:rFonts w:hint="eastAsia" w:ascii="方正仿宋_GBK" w:hAnsi="宋体" w:eastAsia="方正仿宋_GBK"/>
          <w:color w:val="auto"/>
          <w:sz w:val="24"/>
          <w:szCs w:val="22"/>
          <w:highlight w:val="none"/>
        </w:rPr>
        <w:t>参与人员</w:t>
      </w:r>
    </w:p>
    <w:p>
      <w:pPr>
        <w:pStyle w:val="32"/>
        <w:spacing w:line="40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szCs w:val="22"/>
          <w:highlight w:val="none"/>
        </w:rPr>
        <w:t>各个</w:t>
      </w:r>
      <w:r>
        <w:rPr>
          <w:rFonts w:hint="eastAsia" w:ascii="方正仿宋_GBK" w:hAnsi="宋体" w:eastAsia="方正仿宋_GBK"/>
          <w:color w:val="auto"/>
          <w:sz w:val="24"/>
          <w:szCs w:val="22"/>
          <w:highlight w:val="none"/>
          <w:lang w:eastAsia="zh-CN"/>
        </w:rPr>
        <w:t>供应商</w:t>
      </w:r>
      <w:r>
        <w:rPr>
          <w:rFonts w:hint="eastAsia" w:ascii="方正仿宋_GBK" w:hAnsi="宋体" w:eastAsia="方正仿宋_GBK"/>
          <w:color w:val="auto"/>
          <w:sz w:val="24"/>
          <w:szCs w:val="22"/>
          <w:highlight w:val="none"/>
        </w:rPr>
        <w:t>可派1-2名代表参与</w:t>
      </w:r>
      <w:r>
        <w:rPr>
          <w:rFonts w:hint="eastAsia" w:ascii="方正仿宋_GBK" w:hAnsi="宋体" w:eastAsia="方正仿宋_GBK"/>
          <w:color w:val="auto"/>
          <w:sz w:val="24"/>
          <w:szCs w:val="22"/>
          <w:highlight w:val="none"/>
          <w:lang w:eastAsia="zh-CN"/>
        </w:rPr>
        <w:t>磋商</w:t>
      </w:r>
      <w:r>
        <w:rPr>
          <w:rFonts w:hint="eastAsia" w:ascii="方正仿宋_GBK" w:hAnsi="宋体" w:eastAsia="方正仿宋_GBK"/>
          <w:color w:val="auto"/>
          <w:sz w:val="24"/>
          <w:szCs w:val="22"/>
          <w:highlight w:val="none"/>
        </w:rPr>
        <w:t>，至少1人应为法定代表人或具有法定代表人授权委托书的授权代表。</w:t>
      </w:r>
    </w:p>
    <w:p>
      <w:pPr>
        <w:pStyle w:val="4"/>
        <w:spacing w:line="400" w:lineRule="exact"/>
        <w:ind w:firstLine="480" w:firstLineChars="200"/>
        <w:rPr>
          <w:rFonts w:ascii="方正仿宋_GBK" w:eastAsia="方正仿宋_GBK"/>
          <w:b/>
          <w:color w:val="auto"/>
          <w:sz w:val="24"/>
          <w:highlight w:val="none"/>
        </w:rPr>
      </w:pPr>
      <w:r>
        <w:rPr>
          <w:rFonts w:hint="eastAsia" w:ascii="方正仿宋_GBK" w:eastAsia="方正仿宋_GBK"/>
          <w:b/>
          <w:color w:val="auto"/>
          <w:sz w:val="24"/>
          <w:highlight w:val="none"/>
        </w:rPr>
        <w:t>四、开标</w:t>
      </w:r>
      <w:bookmarkEnd w:id="60"/>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（一）开标应当在竞争性磋商文件中“投标邀请书”确定的时间和地点公开进行。</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（二）</w:t>
      </w:r>
      <w:r>
        <w:rPr>
          <w:rFonts w:hint="eastAsia" w:ascii="方正仿宋_GBK" w:hAnsi="宋体" w:eastAsia="方正仿宋_GBK"/>
          <w:color w:val="auto"/>
          <w:sz w:val="24"/>
          <w:highlight w:val="none"/>
        </w:rPr>
        <w:t>采购代理机构</w:t>
      </w:r>
      <w:r>
        <w:rPr>
          <w:rFonts w:hint="eastAsia" w:ascii="方正仿宋_GBK" w:hAnsi="方正仿宋_GBK" w:eastAsia="方正仿宋_GBK"/>
          <w:color w:val="auto"/>
          <w:sz w:val="24"/>
          <w:highlight w:val="none"/>
        </w:rPr>
        <w:t>可视采购具体情况，延长磋商截止时间和开标时间，但至少在竞争性磋商文件要求提交响应文件的截止时间三日前，将变更时间书面通知所有竞争性磋商文件收受人。</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（三）开标由</w:t>
      </w:r>
      <w:r>
        <w:rPr>
          <w:rFonts w:hint="eastAsia" w:ascii="方正仿宋_GBK" w:hAnsi="宋体" w:eastAsia="方正仿宋_GBK"/>
          <w:color w:val="auto"/>
          <w:sz w:val="24"/>
          <w:highlight w:val="none"/>
        </w:rPr>
        <w:t>采购代理机构</w:t>
      </w:r>
      <w:r>
        <w:rPr>
          <w:rFonts w:hint="eastAsia" w:ascii="方正仿宋_GBK" w:hAnsi="方正仿宋_GBK" w:eastAsia="方正仿宋_GBK"/>
          <w:color w:val="auto"/>
          <w:sz w:val="24"/>
          <w:highlight w:val="none"/>
        </w:rPr>
        <w:t>主持，邀请采购人、供应商、有关监督部门代表参加，。</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四）开标时，由监督部门核验参加开标会的法定代表人的法定代表身份证明原件及身份证原件或委托代理人的法定代表人身份证明原件、授权委托书原件及本人身份证原件。经核验，身份核验不合格的供应商的响应文件为无效响应。由供应商或者其推选的代表检查响应文件的密封情况，也可以由采购人委托的公证机构人员检查响应文件密封情况并公证；经确认密封完好的响应文件，由</w:t>
      </w:r>
      <w:r>
        <w:rPr>
          <w:rFonts w:hint="eastAsia" w:ascii="方正仿宋_GBK" w:hAnsi="宋体" w:eastAsia="方正仿宋_GBK"/>
          <w:color w:val="auto"/>
          <w:sz w:val="24"/>
          <w:highlight w:val="none"/>
        </w:rPr>
        <w:t>采购代理机构</w:t>
      </w:r>
      <w:r>
        <w:rPr>
          <w:rFonts w:hint="eastAsia" w:ascii="方正仿宋_GBK" w:hAnsi="方正仿宋_GBK" w:eastAsia="方正仿宋_GBK"/>
          <w:color w:val="auto"/>
          <w:sz w:val="24"/>
          <w:highlight w:val="none"/>
        </w:rPr>
        <w:t>工作人员当众拆封，只宣布供应商提供的文件分数，不对供应商的第一次报价进行唱标。</w:t>
      </w:r>
    </w:p>
    <w:p>
      <w:pPr>
        <w:snapToGrid w:val="0"/>
        <w:spacing w:line="54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（五）各供应商的法定代表人或委托代理人在开标会现场抽取磋商顺序号。</w:t>
      </w:r>
    </w:p>
    <w:p>
      <w:pPr>
        <w:snapToGrid w:val="0"/>
        <w:spacing w:line="54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（六）开标过程应由采购代理单位指定专人负责记录，并存档备查。</w:t>
      </w:r>
    </w:p>
    <w:p>
      <w:pPr>
        <w:pStyle w:val="4"/>
        <w:spacing w:line="400" w:lineRule="exact"/>
        <w:ind w:firstLine="480" w:firstLineChars="200"/>
        <w:rPr>
          <w:rFonts w:ascii="方正仿宋_GBK" w:eastAsia="方正仿宋_GBK"/>
          <w:b/>
          <w:color w:val="auto"/>
          <w:sz w:val="24"/>
          <w:highlight w:val="none"/>
        </w:rPr>
      </w:pPr>
      <w:bookmarkStart w:id="61" w:name="_Toc452024174"/>
      <w:r>
        <w:rPr>
          <w:rFonts w:hint="eastAsia" w:ascii="方正仿宋_GBK" w:eastAsia="方正仿宋_GBK"/>
          <w:b/>
          <w:color w:val="auto"/>
          <w:sz w:val="24"/>
          <w:highlight w:val="none"/>
        </w:rPr>
        <w:t>五、评标</w:t>
      </w:r>
      <w:bookmarkEnd w:id="61"/>
    </w:p>
    <w:p>
      <w:pPr>
        <w:snapToGrid w:val="0"/>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见第四篇“评标”内容。</w:t>
      </w:r>
    </w:p>
    <w:p>
      <w:pPr>
        <w:pStyle w:val="4"/>
        <w:spacing w:line="400" w:lineRule="exact"/>
        <w:ind w:firstLine="480" w:firstLineChars="200"/>
        <w:rPr>
          <w:rFonts w:ascii="方正仿宋_GBK" w:eastAsia="方正仿宋_GBK"/>
          <w:b/>
          <w:color w:val="auto"/>
          <w:sz w:val="24"/>
          <w:highlight w:val="none"/>
        </w:rPr>
      </w:pPr>
      <w:bookmarkStart w:id="62" w:name="_Toc452024175"/>
      <w:r>
        <w:rPr>
          <w:rFonts w:hint="eastAsia" w:ascii="方正仿宋_GBK" w:eastAsia="方正仿宋_GBK"/>
          <w:b/>
          <w:color w:val="auto"/>
          <w:sz w:val="24"/>
          <w:highlight w:val="none"/>
        </w:rPr>
        <w:t>六、定标</w:t>
      </w:r>
      <w:bookmarkEnd w:id="62"/>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（一）定标原则</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采购人或其授权的磋商小组应按照评标报告中推荐的</w:t>
      </w:r>
      <w:r>
        <w:rPr>
          <w:rFonts w:hint="eastAsia" w:ascii="方正仿宋_GBK" w:hAnsi="宋体" w:eastAsia="方正仿宋_GBK"/>
          <w:color w:val="auto"/>
          <w:sz w:val="24"/>
          <w:highlight w:val="none"/>
          <w:lang w:eastAsia="zh-CN"/>
        </w:rPr>
        <w:t>成交候选人</w:t>
      </w:r>
      <w:r>
        <w:rPr>
          <w:rFonts w:hint="eastAsia" w:ascii="方正仿宋_GBK" w:hAnsi="宋体" w:eastAsia="方正仿宋_GBK"/>
          <w:color w:val="auto"/>
          <w:sz w:val="24"/>
          <w:highlight w:val="none"/>
        </w:rPr>
        <w:t>排名顺序确定成交供应商。</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（二）定标程序</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w:t>
      </w:r>
      <w:r>
        <w:rPr>
          <w:rFonts w:ascii="方正仿宋_GBK" w:eastAsia="方正仿宋_GBK"/>
          <w:color w:val="auto"/>
          <w:sz w:val="24"/>
          <w:highlight w:val="none"/>
        </w:rPr>
        <w:t>采购代理机构应当自评审结束之日起2个工作日内将评审报告送交采购人</w:t>
      </w:r>
      <w:r>
        <w:rPr>
          <w:rFonts w:hint="eastAsia" w:ascii="方正仿宋_GBK" w:eastAsia="方正仿宋_GBK"/>
          <w:color w:val="auto"/>
          <w:sz w:val="24"/>
          <w:highlight w:val="none"/>
        </w:rPr>
        <w:t>。</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w:t>
      </w:r>
      <w:r>
        <w:rPr>
          <w:rFonts w:ascii="方正仿宋_GBK" w:eastAsia="方正仿宋_GBK"/>
          <w:color w:val="auto"/>
          <w:sz w:val="24"/>
          <w:highlight w:val="none"/>
        </w:rPr>
        <w:t>采购人应当自收到评审报告之日起5个工作日内在评审报告推荐的中按顺序确定</w:t>
      </w:r>
      <w:r>
        <w:rPr>
          <w:rFonts w:hint="eastAsia" w:ascii="方正仿宋_GBK" w:eastAsia="方正仿宋_GBK"/>
          <w:color w:val="auto"/>
          <w:sz w:val="24"/>
          <w:highlight w:val="none"/>
        </w:rPr>
        <w:t>成交供应商，确认后，采购代理机构在“</w:t>
      </w:r>
      <w:r>
        <w:rPr>
          <w:rFonts w:hint="eastAsia" w:ascii="方正仿宋_GBK" w:hAnsi="宋体" w:eastAsia="方正仿宋_GBK"/>
          <w:color w:val="auto"/>
          <w:sz w:val="24"/>
          <w:szCs w:val="24"/>
          <w:highlight w:val="none"/>
        </w:rPr>
        <w:t>四川外国语大学（www.sisu.edu.cn）</w:t>
      </w:r>
      <w:r>
        <w:rPr>
          <w:rFonts w:hint="eastAsia" w:ascii="方正仿宋_GBK" w:eastAsia="方正仿宋_GBK"/>
          <w:color w:val="auto"/>
          <w:sz w:val="24"/>
          <w:highlight w:val="none"/>
        </w:rPr>
        <w:t>”对评标结果进行公告。</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3、公告内容包括招标项目名称、成交供应商名单、采购人与采购代理机构联系人和电话。</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4、如有供应商对评标结果提出质疑的，在质疑处理完毕后发出成交通知书。</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5、成交供应商变更</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5.1成交供应商</w:t>
      </w:r>
      <w:r>
        <w:rPr>
          <w:rFonts w:ascii="方正仿宋_GBK" w:eastAsia="方正仿宋_GBK"/>
          <w:color w:val="auto"/>
          <w:sz w:val="24"/>
          <w:highlight w:val="none"/>
        </w:rPr>
        <w:t>拒绝与采购人签订合同的</w:t>
      </w:r>
      <w:r>
        <w:rPr>
          <w:rFonts w:hint="eastAsia" w:ascii="方正仿宋_GBK" w:eastAsia="方正仿宋_GBK"/>
          <w:color w:val="auto"/>
          <w:sz w:val="24"/>
          <w:highlight w:val="none"/>
        </w:rPr>
        <w:t>，</w:t>
      </w:r>
      <w:r>
        <w:rPr>
          <w:rFonts w:ascii="方正仿宋_GBK" w:eastAsia="方正仿宋_GBK"/>
          <w:color w:val="auto"/>
          <w:sz w:val="24"/>
          <w:highlight w:val="none"/>
        </w:rPr>
        <w:t>采购人可以按照评审报告推荐的</w:t>
      </w:r>
      <w:r>
        <w:rPr>
          <w:rFonts w:hint="eastAsia" w:ascii="方正仿宋_GBK" w:eastAsia="方正仿宋_GBK"/>
          <w:color w:val="auto"/>
          <w:sz w:val="24"/>
          <w:highlight w:val="none"/>
          <w:lang w:eastAsia="zh-CN"/>
        </w:rPr>
        <w:t>成交候选人</w:t>
      </w:r>
      <w:r>
        <w:rPr>
          <w:rFonts w:ascii="方正仿宋_GBK" w:eastAsia="方正仿宋_GBK"/>
          <w:color w:val="auto"/>
          <w:sz w:val="24"/>
          <w:highlight w:val="none"/>
        </w:rPr>
        <w:t>名单排序，确定下一候选人为</w:t>
      </w:r>
      <w:r>
        <w:rPr>
          <w:rFonts w:hint="eastAsia" w:ascii="方正仿宋_GBK" w:eastAsia="方正仿宋_GBK"/>
          <w:color w:val="auto"/>
          <w:sz w:val="24"/>
          <w:highlight w:val="none"/>
        </w:rPr>
        <w:t>成交供应商</w:t>
      </w:r>
      <w:r>
        <w:rPr>
          <w:rFonts w:ascii="方正仿宋_GBK" w:eastAsia="方正仿宋_GBK"/>
          <w:color w:val="auto"/>
          <w:sz w:val="24"/>
          <w:highlight w:val="none"/>
        </w:rPr>
        <w:t>，也可以重新开展采购活动。</w:t>
      </w:r>
      <w:r>
        <w:rPr>
          <w:rFonts w:hint="eastAsia" w:ascii="方正仿宋_GBK" w:eastAsia="方正仿宋_GBK"/>
          <w:color w:val="auto"/>
          <w:sz w:val="24"/>
          <w:highlight w:val="none"/>
        </w:rPr>
        <w:t>若</w:t>
      </w:r>
      <w:r>
        <w:rPr>
          <w:rFonts w:ascii="方正仿宋_GBK" w:eastAsia="方正仿宋_GBK"/>
          <w:color w:val="auto"/>
          <w:sz w:val="24"/>
          <w:highlight w:val="none"/>
        </w:rPr>
        <w:t>确定下一候选人为</w:t>
      </w:r>
      <w:r>
        <w:rPr>
          <w:rFonts w:hint="eastAsia" w:ascii="方正仿宋_GBK" w:eastAsia="方正仿宋_GBK"/>
          <w:color w:val="auto"/>
          <w:sz w:val="24"/>
          <w:highlight w:val="none"/>
        </w:rPr>
        <w:t>成交供应商的，必须符合以下条件：</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5.1.1拟中标金额在100（不含）万元及以下的，报价不超过前一名报价</w:t>
      </w:r>
      <w:r>
        <w:rPr>
          <w:rFonts w:hint="eastAsia" w:ascii="方正仿宋_GBK" w:eastAsia="方正仿宋_GBK"/>
          <w:color w:val="auto"/>
          <w:sz w:val="24"/>
          <w:highlight w:val="none"/>
          <w:lang w:val="en-US" w:eastAsia="zh-CN"/>
        </w:rPr>
        <w:t>5</w:t>
      </w:r>
      <w:r>
        <w:rPr>
          <w:rFonts w:hint="eastAsia" w:ascii="方正仿宋_GBK" w:eastAsia="方正仿宋_GBK"/>
          <w:color w:val="auto"/>
          <w:sz w:val="24"/>
          <w:highlight w:val="none"/>
        </w:rPr>
        <w:t>%的</w:t>
      </w:r>
      <w:r>
        <w:rPr>
          <w:rFonts w:hint="eastAsia" w:ascii="方正仿宋_GBK" w:eastAsia="方正仿宋_GBK"/>
          <w:color w:val="auto"/>
          <w:sz w:val="24"/>
          <w:highlight w:val="none"/>
          <w:lang w:eastAsia="zh-CN"/>
        </w:rPr>
        <w:t>成交候选人</w:t>
      </w:r>
      <w:r>
        <w:rPr>
          <w:rFonts w:hint="eastAsia" w:ascii="方正仿宋_GBK" w:eastAsia="方正仿宋_GBK"/>
          <w:color w:val="auto"/>
          <w:sz w:val="24"/>
          <w:highlight w:val="none"/>
        </w:rPr>
        <w:t>；</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5.1.2拟中标金额在100（含）～200（不含）万元的，报价不超过前一名报价</w:t>
      </w:r>
      <w:r>
        <w:rPr>
          <w:rFonts w:hint="eastAsia" w:ascii="方正仿宋_GBK" w:eastAsia="方正仿宋_GBK"/>
          <w:color w:val="auto"/>
          <w:sz w:val="24"/>
          <w:highlight w:val="none"/>
          <w:lang w:val="en-US" w:eastAsia="zh-CN"/>
        </w:rPr>
        <w:t>4</w:t>
      </w:r>
      <w:r>
        <w:rPr>
          <w:rFonts w:hint="eastAsia" w:ascii="方正仿宋_GBK" w:eastAsia="方正仿宋_GBK"/>
          <w:color w:val="auto"/>
          <w:sz w:val="24"/>
          <w:highlight w:val="none"/>
        </w:rPr>
        <w:t>%的</w:t>
      </w:r>
      <w:r>
        <w:rPr>
          <w:rFonts w:hint="eastAsia" w:ascii="方正仿宋_GBK" w:eastAsia="方正仿宋_GBK"/>
          <w:color w:val="auto"/>
          <w:sz w:val="24"/>
          <w:highlight w:val="none"/>
          <w:lang w:eastAsia="zh-CN"/>
        </w:rPr>
        <w:t>成交候选人</w:t>
      </w:r>
      <w:r>
        <w:rPr>
          <w:rFonts w:hint="eastAsia" w:ascii="方正仿宋_GBK" w:eastAsia="方正仿宋_GBK"/>
          <w:color w:val="auto"/>
          <w:sz w:val="24"/>
          <w:highlight w:val="none"/>
        </w:rPr>
        <w:t>；</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5.1.3拟中标金额在200（含）万元及以上的，报价不超过前一名报价</w:t>
      </w:r>
      <w:r>
        <w:rPr>
          <w:rFonts w:hint="eastAsia" w:ascii="方正仿宋_GBK" w:eastAsia="方正仿宋_GBK"/>
          <w:color w:val="auto"/>
          <w:sz w:val="24"/>
          <w:highlight w:val="none"/>
          <w:lang w:val="en-US" w:eastAsia="zh-CN"/>
        </w:rPr>
        <w:t>3</w:t>
      </w:r>
      <w:r>
        <w:rPr>
          <w:rFonts w:hint="eastAsia" w:ascii="方正仿宋_GBK" w:eastAsia="方正仿宋_GBK"/>
          <w:color w:val="auto"/>
          <w:sz w:val="24"/>
          <w:highlight w:val="none"/>
        </w:rPr>
        <w:t>%的</w:t>
      </w:r>
      <w:r>
        <w:rPr>
          <w:rFonts w:hint="eastAsia" w:ascii="方正仿宋_GBK" w:eastAsia="方正仿宋_GBK"/>
          <w:color w:val="auto"/>
          <w:sz w:val="24"/>
          <w:highlight w:val="none"/>
          <w:lang w:eastAsia="zh-CN"/>
        </w:rPr>
        <w:t>成交候选人</w:t>
      </w:r>
      <w:r>
        <w:rPr>
          <w:rFonts w:hint="eastAsia" w:ascii="方正仿宋_GBK" w:eastAsia="方正仿宋_GBK"/>
          <w:color w:val="auto"/>
          <w:sz w:val="24"/>
          <w:highlight w:val="none"/>
        </w:rPr>
        <w:t>。</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eastAsia="方正仿宋_GBK"/>
          <w:color w:val="auto"/>
          <w:sz w:val="24"/>
          <w:highlight w:val="none"/>
        </w:rPr>
        <w:t>5.2成交供应商无充分理由放弃中标的，采购人将会同采购代理机构把相关情况报相关部门，相关部门将根据规定对违规供应商进行处罚。</w:t>
      </w:r>
    </w:p>
    <w:p>
      <w:pPr>
        <w:pStyle w:val="4"/>
        <w:spacing w:line="400" w:lineRule="exact"/>
        <w:ind w:firstLine="480" w:firstLineChars="200"/>
        <w:rPr>
          <w:rFonts w:ascii="方正仿宋_GBK" w:eastAsia="方正仿宋_GBK"/>
          <w:b/>
          <w:color w:val="auto"/>
          <w:sz w:val="24"/>
          <w:highlight w:val="none"/>
        </w:rPr>
      </w:pPr>
      <w:bookmarkStart w:id="63" w:name="_Toc452024176"/>
      <w:r>
        <w:rPr>
          <w:rFonts w:hint="eastAsia" w:ascii="方正仿宋_GBK" w:eastAsia="方正仿宋_GBK"/>
          <w:b/>
          <w:color w:val="auto"/>
          <w:sz w:val="24"/>
          <w:highlight w:val="none"/>
        </w:rPr>
        <w:t>七、</w:t>
      </w:r>
      <w:bookmarkEnd w:id="63"/>
      <w:r>
        <w:rPr>
          <w:rFonts w:hint="eastAsia" w:ascii="方正仿宋_GBK" w:eastAsia="方正仿宋_GBK"/>
          <w:b/>
          <w:color w:val="auto"/>
          <w:sz w:val="24"/>
          <w:highlight w:val="none"/>
        </w:rPr>
        <w:t>成交通知书</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1、采购人依法确定成交供应商后，采购代理机构以书面形式发出成交通知书。</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2、成交通知书发出后，采购人改变中标结果，或者成交供应商放弃中标，应当承担相应的法律责任。</w:t>
      </w:r>
    </w:p>
    <w:p>
      <w:pPr>
        <w:pStyle w:val="4"/>
        <w:spacing w:line="400" w:lineRule="exact"/>
        <w:ind w:firstLine="480" w:firstLineChars="200"/>
        <w:rPr>
          <w:rFonts w:ascii="方正仿宋_GBK" w:eastAsia="方正仿宋_GBK"/>
          <w:b/>
          <w:color w:val="auto"/>
          <w:sz w:val="24"/>
          <w:highlight w:val="none"/>
        </w:rPr>
      </w:pPr>
      <w:bookmarkStart w:id="64" w:name="_Toc452024177"/>
      <w:r>
        <w:rPr>
          <w:rFonts w:hint="eastAsia" w:ascii="方正仿宋_GBK" w:eastAsia="方正仿宋_GBK"/>
          <w:b/>
          <w:color w:val="auto"/>
          <w:sz w:val="24"/>
          <w:highlight w:val="none"/>
        </w:rPr>
        <w:t>八、</w:t>
      </w:r>
      <w:r>
        <w:rPr>
          <w:rFonts w:hint="eastAsia" w:ascii="方正仿宋_GBK" w:hAnsi="方正仿宋_GBK" w:eastAsia="方正仿宋_GBK"/>
          <w:b/>
          <w:color w:val="auto"/>
          <w:sz w:val="24"/>
          <w:highlight w:val="none"/>
        </w:rPr>
        <w:t>关于质疑和投诉</w:t>
      </w:r>
      <w:bookmarkEnd w:id="64"/>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（一）质疑内容、时限</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1、竞争性磋商文件的解释</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如对竞争性磋商文件有疑问，必须以书面形式在谈判截止时间1个工作日前向采购人（或采购代理机构）要求澄清，采购人（或采购代理机构）可视具体情况做出处理或答复。如供应商未提出疑问，视为完全理解并同意本竞争性磋商文件。一经进入竞争性磋商程序，即视为供应商已详细阅读全部文件资料，完全理解竞争性磋商文件所有条款内容并同意放弃对这方面有不明白及误解的权利。</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2、供应商对中标结果有异议的，应当在中标预公示发布之日起三个工作日内以书面形式向采购人、</w:t>
      </w:r>
      <w:r>
        <w:rPr>
          <w:rFonts w:hint="eastAsia" w:ascii="方正仿宋_GBK" w:hAnsi="宋体" w:eastAsia="方正仿宋_GBK"/>
          <w:color w:val="auto"/>
          <w:sz w:val="24"/>
          <w:highlight w:val="none"/>
        </w:rPr>
        <w:t>采购代理机构</w:t>
      </w:r>
      <w:r>
        <w:rPr>
          <w:rFonts w:hint="eastAsia" w:ascii="方正仿宋_GBK" w:hAnsi="方正仿宋_GBK" w:eastAsia="方正仿宋_GBK"/>
          <w:color w:val="auto"/>
          <w:sz w:val="24"/>
          <w:highlight w:val="none"/>
        </w:rPr>
        <w:t>提出质疑，并附相关证明材料。</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3、供应商对采购文件中供应商特定资格条件、技术质量和商务要求、评审标准及评审细则有异议的，应主要向采购人提出质疑，其他问题可向采购代理机构提出质疑。</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（二）质疑答复时限</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采购人、</w:t>
      </w:r>
      <w:r>
        <w:rPr>
          <w:rFonts w:hint="eastAsia" w:ascii="方正仿宋_GBK" w:hAnsi="宋体" w:eastAsia="方正仿宋_GBK"/>
          <w:color w:val="auto"/>
          <w:sz w:val="24"/>
          <w:highlight w:val="none"/>
        </w:rPr>
        <w:t>采购代理机构</w:t>
      </w:r>
      <w:r>
        <w:rPr>
          <w:rFonts w:hint="eastAsia" w:ascii="方正仿宋_GBK" w:hAnsi="方正仿宋_GBK" w:eastAsia="方正仿宋_GBK"/>
          <w:color w:val="auto"/>
          <w:sz w:val="24"/>
          <w:highlight w:val="none"/>
        </w:rPr>
        <w:t>在收到供应商书面质疑后七个工作日内，对质疑内容作出答复。</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（三）不予受理或暂缓受理</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1、质疑有下列情形之一的，不予受理：</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1.1质疑供应商参与了投标活动后，再对竞争性磋商文件内容提出质疑的；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1.2质疑超过有效期的；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1.3对同一事项重复质疑的。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2、质疑有下列情形之一的，应暂不受理并告知供应商补充材料。供应商及时补充材料的，应予受理；逾期未补充的，不予受理：</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2.1质疑书格式和内容不符合国家或重庆市相关规定的；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2.2质疑书提供的依据或证明材料不全的；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2.3质疑书副本数量不足的。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（四）投诉</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1、供应商对采购人、采购代理机构的答复不满意，或者采购人、采购代理机构未在规定时间内答复的，可在答复期满后十五个工作日内按有关规定，向四川外国语大学相关部门投诉。</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2、在提出投诉时，应附送相关证明材料。投诉书及证明材料为外文的，应同时提供其中文译本；中文与外文意思不一致的，以中文为准。</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3、在确定受理投诉后，自受理投诉之日起三十个工作日内（</w:t>
      </w:r>
      <w:r>
        <w:rPr>
          <w:rFonts w:ascii="方正仿宋_GBK" w:hAnsi="方正仿宋_GBK" w:eastAsia="方正仿宋_GBK"/>
          <w:color w:val="auto"/>
          <w:sz w:val="24"/>
          <w:highlight w:val="none"/>
        </w:rPr>
        <w:t>进行调查取证或者组织质证</w:t>
      </w:r>
      <w:r>
        <w:rPr>
          <w:rFonts w:hint="eastAsia" w:ascii="方正仿宋_GBK" w:hAnsi="方正仿宋_GBK" w:eastAsia="方正仿宋_GBK"/>
          <w:color w:val="auto"/>
          <w:sz w:val="24"/>
          <w:highlight w:val="none"/>
        </w:rPr>
        <w:t>时间除外）对投诉事项做出处理决定，并将投诉处理决定书送达投诉人、被投诉人和其他与投诉处理决定有利害关系的政府采购相关当事人。</w:t>
      </w:r>
    </w:p>
    <w:p>
      <w:pPr>
        <w:pStyle w:val="4"/>
        <w:spacing w:line="400" w:lineRule="exact"/>
        <w:ind w:firstLine="480" w:firstLineChars="200"/>
        <w:rPr>
          <w:rFonts w:ascii="方正仿宋_GBK" w:eastAsia="方正仿宋_GBK"/>
          <w:b/>
          <w:color w:val="auto"/>
          <w:sz w:val="24"/>
          <w:szCs w:val="22"/>
          <w:highlight w:val="none"/>
        </w:rPr>
      </w:pPr>
      <w:r>
        <w:rPr>
          <w:rFonts w:hint="eastAsia" w:ascii="方正仿宋_GBK" w:eastAsia="方正仿宋_GBK"/>
          <w:b/>
          <w:color w:val="auto"/>
          <w:sz w:val="24"/>
          <w:szCs w:val="22"/>
          <w:highlight w:val="none"/>
        </w:rPr>
        <w:t>九、采购代理服务费</w:t>
      </w:r>
    </w:p>
    <w:p>
      <w:pPr>
        <w:spacing w:line="400" w:lineRule="exact"/>
        <w:ind w:firstLine="480" w:firstLineChars="200"/>
        <w:rPr>
          <w:rFonts w:hint="eastAsia" w:ascii="方正仿宋_GBK" w:hAnsi="方正仿宋_GBK" w:eastAsia="方正仿宋_GBK"/>
          <w:color w:val="auto"/>
          <w:sz w:val="24"/>
          <w:szCs w:val="22"/>
          <w:highlight w:val="none"/>
        </w:rPr>
      </w:pPr>
      <w:r>
        <w:rPr>
          <w:rFonts w:hint="eastAsia" w:ascii="方正仿宋_GBK" w:hAnsi="方正仿宋_GBK" w:eastAsia="方正仿宋_GBK"/>
          <w:color w:val="auto"/>
          <w:sz w:val="24"/>
          <w:szCs w:val="22"/>
          <w:highlight w:val="none"/>
        </w:rPr>
        <w:t>本项目的</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代理服务费=①+②</w:t>
      </w:r>
    </w:p>
    <w:p>
      <w:pPr>
        <w:spacing w:line="400" w:lineRule="exact"/>
        <w:ind w:firstLine="480" w:firstLineChars="200"/>
        <w:rPr>
          <w:rFonts w:hint="eastAsia" w:ascii="方正仿宋_GBK" w:hAnsi="方正仿宋_GBK" w:eastAsia="方正仿宋_GBK"/>
          <w:color w:val="auto"/>
          <w:sz w:val="24"/>
          <w:szCs w:val="22"/>
          <w:highlight w:val="none"/>
        </w:rPr>
      </w:pPr>
      <w:r>
        <w:rPr>
          <w:rFonts w:hint="eastAsia" w:ascii="方正仿宋_GBK" w:hAnsi="方正仿宋_GBK" w:eastAsia="方正仿宋_GBK"/>
          <w:color w:val="auto"/>
          <w:sz w:val="24"/>
          <w:szCs w:val="22"/>
          <w:highlight w:val="none"/>
        </w:rPr>
        <w:t>①本工程第一次</w:t>
      </w:r>
      <w:r>
        <w:rPr>
          <w:rFonts w:hint="eastAsia" w:ascii="方正仿宋_GBK" w:hAnsi="方正仿宋_GBK" w:eastAsia="方正仿宋_GBK"/>
          <w:color w:val="auto"/>
          <w:sz w:val="24"/>
          <w:szCs w:val="22"/>
          <w:highlight w:val="none"/>
          <w:lang w:eastAsia="zh-CN"/>
        </w:rPr>
        <w:t>磋商</w:t>
      </w:r>
      <w:r>
        <w:rPr>
          <w:rFonts w:hint="eastAsia" w:ascii="方正仿宋_GBK" w:hAnsi="方正仿宋_GBK" w:eastAsia="方正仿宋_GBK"/>
          <w:color w:val="auto"/>
          <w:sz w:val="24"/>
          <w:szCs w:val="22"/>
          <w:highlight w:val="none"/>
        </w:rPr>
        <w:t>的</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代理服务费计算方式：按照《招标代理服务收费管理暂行办法》（国家计委计价格[2002]1980号）规定收费标准的70%收取</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代理服务费。若成交金额在100万元以下的项目，</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代理服务费为4000元。</w:t>
      </w:r>
    </w:p>
    <w:p>
      <w:pPr>
        <w:spacing w:line="400" w:lineRule="exact"/>
        <w:ind w:firstLine="480" w:firstLineChars="200"/>
        <w:rPr>
          <w:rFonts w:hint="eastAsia" w:ascii="方正仿宋_GBK" w:hAnsi="方正仿宋_GBK" w:eastAsia="方正仿宋_GBK"/>
          <w:color w:val="auto"/>
          <w:sz w:val="24"/>
          <w:szCs w:val="22"/>
          <w:highlight w:val="none"/>
        </w:rPr>
      </w:pPr>
      <w:r>
        <w:rPr>
          <w:rFonts w:hint="eastAsia" w:ascii="方正仿宋_GBK" w:hAnsi="方正仿宋_GBK" w:eastAsia="方正仿宋_GBK"/>
          <w:color w:val="auto"/>
          <w:sz w:val="24"/>
          <w:szCs w:val="22"/>
          <w:highlight w:val="none"/>
        </w:rPr>
        <w:t>②本工程第二次</w:t>
      </w:r>
      <w:r>
        <w:rPr>
          <w:rFonts w:hint="eastAsia" w:ascii="方正仿宋_GBK" w:hAnsi="方正仿宋_GBK" w:eastAsia="方正仿宋_GBK"/>
          <w:color w:val="auto"/>
          <w:sz w:val="24"/>
          <w:szCs w:val="22"/>
          <w:highlight w:val="none"/>
          <w:lang w:eastAsia="zh-CN"/>
        </w:rPr>
        <w:t>磋商</w:t>
      </w:r>
      <w:r>
        <w:rPr>
          <w:rFonts w:hint="eastAsia" w:ascii="方正仿宋_GBK" w:hAnsi="方正仿宋_GBK" w:eastAsia="方正仿宋_GBK"/>
          <w:color w:val="auto"/>
          <w:sz w:val="24"/>
          <w:szCs w:val="22"/>
          <w:highlight w:val="none"/>
        </w:rPr>
        <w:t>的</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代理服务费计算方式：按照本工程第一次</w:t>
      </w:r>
      <w:r>
        <w:rPr>
          <w:rFonts w:hint="eastAsia" w:ascii="方正仿宋_GBK" w:hAnsi="方正仿宋_GBK" w:eastAsia="方正仿宋_GBK"/>
          <w:color w:val="auto"/>
          <w:sz w:val="24"/>
          <w:szCs w:val="22"/>
          <w:highlight w:val="none"/>
          <w:lang w:eastAsia="zh-CN"/>
        </w:rPr>
        <w:t>磋商</w:t>
      </w:r>
      <w:r>
        <w:rPr>
          <w:rFonts w:hint="eastAsia" w:ascii="方正仿宋_GBK" w:hAnsi="方正仿宋_GBK" w:eastAsia="方正仿宋_GBK"/>
          <w:color w:val="auto"/>
          <w:sz w:val="24"/>
          <w:szCs w:val="22"/>
          <w:highlight w:val="none"/>
        </w:rPr>
        <w:t>的</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代理服务费的40%计取。</w:t>
      </w:r>
    </w:p>
    <w:p>
      <w:pPr>
        <w:spacing w:line="400" w:lineRule="exact"/>
        <w:ind w:firstLine="480" w:firstLineChars="200"/>
        <w:rPr>
          <w:rFonts w:hint="eastAsia" w:ascii="方正仿宋_GBK" w:hAnsi="方正仿宋_GBK" w:eastAsia="方正仿宋_GBK"/>
          <w:color w:val="auto"/>
          <w:sz w:val="24"/>
          <w:szCs w:val="22"/>
          <w:highlight w:val="none"/>
        </w:rPr>
      </w:pPr>
      <w:r>
        <w:rPr>
          <w:rFonts w:hint="eastAsia" w:ascii="方正仿宋_GBK" w:hAnsi="方正仿宋_GBK" w:eastAsia="方正仿宋_GBK"/>
          <w:color w:val="auto"/>
          <w:sz w:val="24"/>
          <w:szCs w:val="22"/>
          <w:highlight w:val="none"/>
        </w:rPr>
        <w:t>注：本项目的</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代理服务费由</w:t>
      </w:r>
      <w:r>
        <w:rPr>
          <w:rFonts w:hint="eastAsia" w:ascii="方正仿宋_GBK" w:hAnsi="方正仿宋_GBK" w:eastAsia="方正仿宋_GBK"/>
          <w:color w:val="auto"/>
          <w:sz w:val="24"/>
          <w:szCs w:val="22"/>
          <w:highlight w:val="none"/>
          <w:lang w:eastAsia="zh-CN"/>
        </w:rPr>
        <w:t>成交供应商</w:t>
      </w:r>
      <w:r>
        <w:rPr>
          <w:rFonts w:hint="eastAsia" w:ascii="方正仿宋_GBK" w:hAnsi="方正仿宋_GBK" w:eastAsia="方正仿宋_GBK"/>
          <w:color w:val="auto"/>
          <w:sz w:val="24"/>
          <w:szCs w:val="22"/>
          <w:highlight w:val="none"/>
        </w:rPr>
        <w:t>在领取</w:t>
      </w:r>
      <w:r>
        <w:rPr>
          <w:rFonts w:hint="eastAsia" w:ascii="方正仿宋_GBK" w:hAnsi="方正仿宋_GBK" w:eastAsia="方正仿宋_GBK"/>
          <w:color w:val="auto"/>
          <w:sz w:val="24"/>
          <w:szCs w:val="22"/>
          <w:highlight w:val="none"/>
          <w:lang w:eastAsia="zh-CN"/>
        </w:rPr>
        <w:t>成交</w:t>
      </w:r>
      <w:r>
        <w:rPr>
          <w:rFonts w:hint="eastAsia" w:ascii="方正仿宋_GBK" w:hAnsi="方正仿宋_GBK" w:eastAsia="方正仿宋_GBK"/>
          <w:color w:val="auto"/>
          <w:sz w:val="24"/>
          <w:szCs w:val="22"/>
          <w:highlight w:val="none"/>
        </w:rPr>
        <w:t>通知书时一次性支付给</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代理公司。</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代理服务费包含在</w:t>
      </w:r>
      <w:r>
        <w:rPr>
          <w:rFonts w:hint="eastAsia" w:ascii="方正仿宋_GBK" w:hAnsi="方正仿宋_GBK" w:eastAsia="方正仿宋_GBK"/>
          <w:color w:val="auto"/>
          <w:sz w:val="24"/>
          <w:szCs w:val="22"/>
          <w:highlight w:val="none"/>
          <w:lang w:eastAsia="zh-CN"/>
        </w:rPr>
        <w:t>投标</w:t>
      </w:r>
      <w:r>
        <w:rPr>
          <w:rFonts w:hint="eastAsia" w:ascii="方正仿宋_GBK" w:hAnsi="方正仿宋_GBK" w:eastAsia="方正仿宋_GBK"/>
          <w:color w:val="auto"/>
          <w:sz w:val="24"/>
          <w:szCs w:val="22"/>
          <w:highlight w:val="none"/>
        </w:rPr>
        <w:t>总报价中，不单列。</w:t>
      </w:r>
    </w:p>
    <w:p>
      <w:pPr>
        <w:pStyle w:val="4"/>
        <w:spacing w:line="400" w:lineRule="exact"/>
        <w:ind w:firstLine="480" w:firstLineChars="200"/>
        <w:rPr>
          <w:rFonts w:ascii="方正仿宋_GBK" w:eastAsia="方正仿宋_GBK"/>
          <w:b/>
          <w:color w:val="auto"/>
          <w:sz w:val="24"/>
          <w:highlight w:val="none"/>
        </w:rPr>
      </w:pPr>
      <w:bookmarkStart w:id="65" w:name="_Toc452024178"/>
      <w:r>
        <w:rPr>
          <w:rFonts w:hint="eastAsia" w:ascii="方正仿宋_GBK" w:eastAsia="方正仿宋_GBK"/>
          <w:b/>
          <w:color w:val="auto"/>
          <w:sz w:val="24"/>
          <w:highlight w:val="none"/>
        </w:rPr>
        <w:t>十、签订合同</w:t>
      </w:r>
      <w:bookmarkEnd w:id="65"/>
    </w:p>
    <w:p>
      <w:pPr>
        <w:spacing w:line="400" w:lineRule="exact"/>
        <w:ind w:firstLine="480" w:firstLineChars="200"/>
        <w:rPr>
          <w:rFonts w:ascii="方正仿宋_GBK" w:hAnsi="宋体" w:eastAsia="方正仿宋_GBK"/>
          <w:color w:val="auto"/>
          <w:sz w:val="24"/>
          <w:highlight w:val="none"/>
        </w:rPr>
      </w:pPr>
      <w:r>
        <w:rPr>
          <w:rFonts w:hint="eastAsia" w:ascii="方正仿宋_GBK" w:hAnsi="方正仿宋_GBK" w:eastAsia="方正仿宋_GBK"/>
          <w:color w:val="auto"/>
          <w:sz w:val="24"/>
          <w:highlight w:val="none"/>
        </w:rPr>
        <w:t>（一）</w:t>
      </w:r>
      <w:r>
        <w:rPr>
          <w:rFonts w:hint="eastAsia" w:ascii="方正仿宋_GBK" w:hAnsi="宋体" w:eastAsia="方正仿宋_GBK"/>
          <w:color w:val="auto"/>
          <w:sz w:val="24"/>
          <w:highlight w:val="none"/>
        </w:rPr>
        <w:t>采购人应当自成交通知书发出之日起三十日内，按照竞争性磋商文件和成交供应商响应文件的约定，与成交供应商签订书面合同。所签订的合同不得对竞争性磋商文件和成交供应商响应文件作实质性修改。</w:t>
      </w:r>
    </w:p>
    <w:p>
      <w:pPr>
        <w:spacing w:line="400" w:lineRule="exact"/>
        <w:ind w:firstLine="480" w:firstLineChars="200"/>
        <w:rPr>
          <w:rFonts w:ascii="方正仿宋_GBK" w:hAnsi="宋体" w:eastAsia="方正仿宋_GBK"/>
          <w:color w:val="auto"/>
          <w:sz w:val="24"/>
          <w:highlight w:val="none"/>
        </w:rPr>
      </w:pPr>
      <w:r>
        <w:rPr>
          <w:rFonts w:hint="eastAsia" w:ascii="方正仿宋_GBK" w:hAnsi="方正仿宋_GBK" w:eastAsia="方正仿宋_GBK"/>
          <w:color w:val="auto"/>
          <w:sz w:val="24"/>
          <w:highlight w:val="none"/>
        </w:rPr>
        <w:t>（二）</w:t>
      </w:r>
      <w:r>
        <w:rPr>
          <w:rFonts w:hint="eastAsia" w:ascii="方正仿宋_GBK" w:hAnsi="宋体" w:eastAsia="方正仿宋_GBK"/>
          <w:color w:val="auto"/>
          <w:sz w:val="24"/>
          <w:highlight w:val="none"/>
        </w:rPr>
        <w:t>竞争性磋商文件、成交供应商的响应文件及澄清文件等，均为签订采购合同的依据。</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（三）合同生效条款由供需双方约定，法律、行政法规规定应当办理批准、登记等手续后生效的合同，依照其规定。</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（五）合同原则上应按照《重庆市政府采购合同》签订，相关单位要求适用合同通用格式版本的，应按其要求另行签订其他合同。</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（六）除不可抗力等因素外，成交通知书发出后，采购人改变成交结果，或者成交供应商拒绝签订政府采购合同的，应当承担相应的法律责任。</w:t>
      </w:r>
    </w:p>
    <w:p>
      <w:pPr>
        <w:pStyle w:val="3"/>
        <w:spacing w:beforeLines="0" w:afterLines="0" w:line="360" w:lineRule="auto"/>
        <w:rPr>
          <w:rFonts w:ascii="方正小标宋_GBK" w:eastAsia="方正小标宋_GBK"/>
          <w:color w:val="auto"/>
          <w:highlight w:val="none"/>
        </w:rPr>
      </w:pPr>
      <w:r>
        <w:rPr>
          <w:color w:val="auto"/>
          <w:highlight w:val="none"/>
        </w:rPr>
        <w:br w:type="page"/>
      </w:r>
      <w:bookmarkStart w:id="66" w:name="_Toc23091"/>
      <w:bookmarkStart w:id="67" w:name="_Toc8024_WPSOffice_Level1"/>
      <w:bookmarkStart w:id="68" w:name="_Toc452024179"/>
      <w:bookmarkStart w:id="69" w:name="_Toc29373"/>
      <w:r>
        <w:rPr>
          <w:rFonts w:hint="eastAsia" w:ascii="方正小标宋_GBK" w:eastAsia="方正小标宋_GBK"/>
          <w:color w:val="auto"/>
          <w:highlight w:val="none"/>
        </w:rPr>
        <w:t>第六篇  合同主要条款和格式合同（样本）</w:t>
      </w:r>
      <w:bookmarkEnd w:id="66"/>
      <w:bookmarkEnd w:id="67"/>
      <w:bookmarkEnd w:id="68"/>
      <w:bookmarkEnd w:id="69"/>
    </w:p>
    <w:p>
      <w:pPr>
        <w:snapToGrid w:val="0"/>
        <w:spacing w:line="440" w:lineRule="exact"/>
        <w:ind w:firstLine="570"/>
        <w:jc w:val="center"/>
        <w:rPr>
          <w:rFonts w:ascii="方正仿宋_GBK" w:eastAsia="方正仿宋_GBK"/>
          <w:color w:val="auto"/>
          <w:sz w:val="24"/>
          <w:highlight w:val="none"/>
        </w:rPr>
      </w:pPr>
      <w:bookmarkStart w:id="70" w:name="_Toc350305913"/>
      <w:bookmarkStart w:id="71" w:name="_Toc223471339"/>
      <w:r>
        <w:rPr>
          <w:rFonts w:hint="eastAsia" w:ascii="方正仿宋_GBK" w:eastAsia="方正仿宋_GBK"/>
          <w:color w:val="auto"/>
          <w:sz w:val="24"/>
          <w:highlight w:val="none"/>
        </w:rPr>
        <w:t>第一部分  合同协议书</w:t>
      </w:r>
      <w:bookmarkEnd w:id="70"/>
      <w:bookmarkEnd w:id="71"/>
    </w:p>
    <w:p>
      <w:pPr>
        <w:spacing w:line="360" w:lineRule="exact"/>
        <w:rPr>
          <w:rFonts w:ascii="方正仿宋_GBK" w:eastAsia="方正仿宋_GBK"/>
          <w:color w:val="auto"/>
          <w:sz w:val="24"/>
          <w:highlight w:val="none"/>
        </w:rPr>
      </w:pPr>
      <w:r>
        <w:rPr>
          <w:rFonts w:hint="eastAsia" w:ascii="方正仿宋_GBK" w:eastAsia="方正仿宋_GBK"/>
          <w:color w:val="auto"/>
          <w:sz w:val="24"/>
          <w:highlight w:val="none"/>
        </w:rPr>
        <w:t>委托人：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监理人：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p>
    <w:p>
      <w:pPr>
        <w:spacing w:line="400" w:lineRule="exact"/>
        <w:ind w:firstLine="720" w:firstLineChars="300"/>
        <w:rPr>
          <w:rFonts w:ascii="方正仿宋_GBK" w:eastAsia="方正仿宋_GBK"/>
          <w:color w:val="auto"/>
          <w:sz w:val="24"/>
          <w:highlight w:val="none"/>
        </w:rPr>
      </w:pP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鉴于委托人拟委托监理人对</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（以下简称“工程”）实施监理，且监理人同意接受该委托。为此，根据《中华人民共和国合同法》等有关法律、法规和规章的规定，双方经协商一致，订立本协议。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第1条　工程</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（一）工程概况</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1．工程名称：</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2．工程地点：</w:t>
      </w:r>
      <w:r>
        <w:rPr>
          <w:rFonts w:hint="eastAsia" w:ascii="方正仿宋_GBK" w:eastAsia="方正仿宋_GBK"/>
          <w:color w:val="auto"/>
          <w:sz w:val="24"/>
          <w:highlight w:val="none"/>
          <w:u w:val="single"/>
        </w:rPr>
        <w:t xml:space="preserve">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 3．工程规模：</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xml:space="preserve">　　4．工程总投资： </w:t>
      </w:r>
      <w:r>
        <w:rPr>
          <w:rFonts w:hint="eastAsia" w:ascii="方正仿宋_GBK" w:eastAsia="方正仿宋_GBK"/>
          <w:color w:val="auto"/>
          <w:sz w:val="24"/>
          <w:highlight w:val="none"/>
          <w:u w:val="single"/>
        </w:rPr>
        <w:t xml:space="preserve">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5．工程总工期：</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天，其中：</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（1）开工日期：本合同工程定于_________年_________月_________日开工，从签订合同后第_________日算起。</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（2）竣工日期：本合同工程定于_________年_________月_________日竣工。</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（3）凡是延期开工或顺延工期的约定，都是以约定的开工日期和竣工日期为计算基础</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（二）工程监理</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xml:space="preserve">　 　1．监理范围：                </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2．监理内容：</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3．工程监理期限：自_________年_________月_________日至本工程质量缺陷责任期届满之日止。</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xml:space="preserve">    第2条  监理服务范围：</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第3条  工程建设目标：</w:t>
      </w:r>
      <w:r>
        <w:rPr>
          <w:rFonts w:hint="eastAsia" w:ascii="方正仿宋_GBK" w:eastAsia="方正仿宋_GBK"/>
          <w:color w:val="auto"/>
          <w:sz w:val="24"/>
          <w:highlight w:val="none"/>
          <w:u w:val="single"/>
        </w:rPr>
        <w:t xml:space="preserve">                     </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3.1达到国家现行有关施工质量验收规范要求，并达到合格标准。</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1）进度控制目标：督促施工单位采用合理的施工工艺和工序按合同施工工期完工。 </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2）安全控制目标：严格执行中华人民共和国国务院令第393号《建设工程安全生产管理条例》，监理期间无重大伤亡事故发生。</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3）合同信息管理目标：正确及时处理项目有关的合同索赔和合同纠纷，并对项目施工阶段的信息进行收集、整理和保管，保证过程中重要环节的可追溯性。</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4）除此之外，监理单位还必须满足项目施工合同中对质量、进度、安全、文明施工的要求。</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5）其他目标：</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第4条  合同总价</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 xml:space="preserve"> 4.1合同总价为中标监理费减去考核金的所得额，监理费和考核金的金额及其支付、考核办法见合同专用条款。</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第5条  合同组成文件</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下列文件为合同的组成部分：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 双方在合同履行过程中达成的纪要、补充协议等文件；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5.2 协议书；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5.3 成交通知书或委托函；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5.4 合同专用条款及附件；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5.5 竞争性磋商文件和响应文件；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5.6合同通用条款；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5.7委托人的工程管理制度。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上述文件应互为补充和解释，如有不清或互相矛盾之处，以上面所列顺序在前的为准。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第6条  监理人承诺严格按照建设监理的职业准则和合同约定履行其职责，并承担相应责任。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第7条  委托人承诺按本合同约定期限和方式向监理人支付合同价款，并承担相应责任。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第8条  合同生效</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合同生效条件见专用条款。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第9条  份数</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本合同正本一式拾份（两正八副），双方各执伍份（一正肆副），具有同等法律效力。</w:t>
      </w:r>
    </w:p>
    <w:tbl>
      <w:tblPr>
        <w:tblStyle w:val="65"/>
        <w:tblW w:w="8633" w:type="dxa"/>
        <w:jc w:val="center"/>
        <w:tblInd w:w="0" w:type="dxa"/>
        <w:tblLayout w:type="fixed"/>
        <w:tblCellMar>
          <w:top w:w="0" w:type="dxa"/>
          <w:left w:w="108" w:type="dxa"/>
          <w:bottom w:w="0" w:type="dxa"/>
          <w:right w:w="108" w:type="dxa"/>
        </w:tblCellMar>
      </w:tblPr>
      <w:tblGrid>
        <w:gridCol w:w="4408"/>
        <w:gridCol w:w="4225"/>
      </w:tblGrid>
      <w:tr>
        <w:tblPrEx>
          <w:tblLayout w:type="fixed"/>
          <w:tblCellMar>
            <w:top w:w="0" w:type="dxa"/>
            <w:left w:w="108" w:type="dxa"/>
            <w:bottom w:w="0" w:type="dxa"/>
            <w:right w:w="108" w:type="dxa"/>
          </w:tblCellMar>
        </w:tblPrEx>
        <w:trPr>
          <w:cantSplit/>
          <w:trHeight w:val="1026" w:hRule="exact"/>
          <w:jc w:val="center"/>
        </w:trPr>
        <w:tc>
          <w:tcPr>
            <w:tcW w:w="4408"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委托人：</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（盖章）     </w:t>
            </w:r>
          </w:p>
        </w:tc>
        <w:tc>
          <w:tcPr>
            <w:tcW w:w="4225"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监理人： </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（盖章）</w:t>
            </w:r>
          </w:p>
        </w:tc>
      </w:tr>
      <w:tr>
        <w:tblPrEx>
          <w:tblLayout w:type="fixed"/>
          <w:tblCellMar>
            <w:top w:w="0" w:type="dxa"/>
            <w:left w:w="108" w:type="dxa"/>
            <w:bottom w:w="0" w:type="dxa"/>
            <w:right w:w="108" w:type="dxa"/>
          </w:tblCellMar>
        </w:tblPrEx>
        <w:trPr>
          <w:cantSplit/>
          <w:trHeight w:val="1096" w:hRule="exact"/>
          <w:jc w:val="center"/>
        </w:trPr>
        <w:tc>
          <w:tcPr>
            <w:tcW w:w="4408"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法定代表人(负责人)或</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授权代表（签字）：</w:t>
            </w:r>
          </w:p>
        </w:tc>
        <w:tc>
          <w:tcPr>
            <w:tcW w:w="4225"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法定代表人（负责人）或</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授权代表（签字）：</w:t>
            </w:r>
          </w:p>
        </w:tc>
      </w:tr>
      <w:tr>
        <w:tblPrEx>
          <w:tblLayout w:type="fixed"/>
          <w:tblCellMar>
            <w:top w:w="0" w:type="dxa"/>
            <w:left w:w="108" w:type="dxa"/>
            <w:bottom w:w="0" w:type="dxa"/>
            <w:right w:w="108" w:type="dxa"/>
          </w:tblCellMar>
        </w:tblPrEx>
        <w:trPr>
          <w:cantSplit/>
          <w:trHeight w:val="498" w:hRule="exact"/>
          <w:jc w:val="center"/>
        </w:trPr>
        <w:tc>
          <w:tcPr>
            <w:tcW w:w="4408"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签订日期： 年 月 日</w:t>
            </w:r>
          </w:p>
        </w:tc>
        <w:tc>
          <w:tcPr>
            <w:tcW w:w="4225"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签订日期： 年 月 日</w:t>
            </w:r>
          </w:p>
        </w:tc>
      </w:tr>
    </w:tbl>
    <w:p>
      <w:pPr>
        <w:spacing w:line="400" w:lineRule="exact"/>
        <w:jc w:val="center"/>
        <w:outlineLvl w:val="1"/>
        <w:rPr>
          <w:rFonts w:ascii="方正仿宋_GBK" w:eastAsia="方正仿宋_GBK"/>
          <w:color w:val="auto"/>
          <w:sz w:val="24"/>
          <w:highlight w:val="none"/>
        </w:rPr>
      </w:pPr>
      <w:r>
        <w:rPr>
          <w:rFonts w:hint="eastAsia" w:ascii="方正仿宋_GBK" w:eastAsia="方正仿宋_GBK"/>
          <w:color w:val="auto"/>
          <w:sz w:val="24"/>
          <w:highlight w:val="none"/>
        </w:rPr>
        <w:br w:type="page"/>
      </w:r>
      <w:bookmarkStart w:id="72" w:name="_Toc350305914"/>
      <w:bookmarkStart w:id="73" w:name="_Toc223471340"/>
      <w:r>
        <w:rPr>
          <w:rFonts w:hint="eastAsia" w:ascii="方正仿宋_GBK" w:eastAsia="方正仿宋_GBK"/>
          <w:color w:val="auto"/>
          <w:sz w:val="24"/>
          <w:highlight w:val="none"/>
        </w:rPr>
        <w:t>第二部分  专用条款</w:t>
      </w:r>
      <w:bookmarkEnd w:id="72"/>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专用条款是对通用条款的具体阐明、修改或补充。专用条款与通用条款不一致时，以专用条款为准。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第1条 监理人出版与本合同项下服务有关的材料应遵循如下保密约定：监理人在服务完成或终止后 5 年内出版有关材料时，须得到委托人的批准。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第2条 监理人的服务范围见《监理范围》（附件一）。</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第3条  监理人的义务</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3.1监理人应根据本合同委派的监理人员应具备以下资质证书、工作经验及其他条件：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 2人员的委派及调整：监理人应于合同生效后10天内（含本数）将监理机构的组织形式、人员构成及对监理分部负责人的任命书面通知委托人。当监理人员需要调整时，监理人应征得委托人同意并书面通知委托人和承包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3.3 监理人应制订监理规划、编制创优计划（若需要）、监理实施细则和安全文明施工实施措施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第4条  合同价格</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4.1合同总价为监理费减去考核金的所得额。</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4.2监理费</w:t>
      </w:r>
    </w:p>
    <w:p>
      <w:pPr>
        <w:spacing w:line="400" w:lineRule="exact"/>
        <w:ind w:left="199" w:leftChars="71"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4.2.1根据《监理成交通知书》或双方协商一致，监理费按照下列第一种办法确定，此监理费包含了完成监理工作所需的一切费用（如出现工程延期情况或附加工作量由发包人和监理人协商补偿监理报酬），除此费用外，委托人不再向监理人支付其他任何费用，但双方另行达成补充协议的除外。</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（1）包干确定为人民币（大写）</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小写（¥ </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万元 ）。</w:t>
      </w:r>
    </w:p>
    <w:p>
      <w:pPr>
        <w:spacing w:line="400" w:lineRule="exact"/>
        <w:ind w:left="199" w:leftChars="71"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（2）按照</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的结算办法，结算监理费。</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4.2.1 监理费按以下约定支付：</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（一）合同签订后，进场后30日内支付总监理费的20%；</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（二）工程开工后按月进行结算，按每月占监理服务期的比例的60%支付监理服务费；</w:t>
      </w:r>
    </w:p>
    <w:p>
      <w:pPr>
        <w:snapToGrid w:val="0"/>
        <w:spacing w:line="400" w:lineRule="exact"/>
        <w:ind w:firstLine="480" w:firstLineChars="200"/>
        <w:rPr>
          <w:color w:val="auto"/>
          <w:highlight w:val="none"/>
        </w:rPr>
      </w:pPr>
      <w:r>
        <w:rPr>
          <w:rFonts w:hint="eastAsia" w:ascii="方正仿宋_GBK" w:hAnsi="宋体" w:eastAsia="方正仿宋_GBK" w:cs="宋体"/>
          <w:color w:val="auto"/>
          <w:kern w:val="0"/>
          <w:sz w:val="24"/>
          <w:szCs w:val="24"/>
          <w:highlight w:val="none"/>
        </w:rPr>
        <w:t>（三）工程竣工结算审计后支付到监理费总额的97%，余款作为工程保修金，在质量缺陷期满后，采购人无息支付给成交供应商。</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4.3考核金按以下约定扣减：</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未实现考核目标的，按下述约定扣减考核金：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（1）安全考核金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a.施工过程中，发生因监理原因的人身死亡（1人）事故（含分包工程）：扣除监理费的2%；发生较大安全事故或重大安全事故，按相关法律法规进入司法程序处理，同时扣除监理费的8％。</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b. 施工过程中，发生因监理原因的人身重伤事故、轻伤率大于3‰、环境污染事故、重大垮（坍）塌事故、重大施工机械设备损坏事故、重大火灾事故、负主要责任的重大交通事故、环保（或水保）验收不合格等任意一项的扣减监理费的1％；</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c. 故意隐瞒事故，每起扣除监理费的2%；</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d. 委托人组织安全大检查时，所监理的施工承包商受到政府部门通报批评，每次扣除监理费的1%；</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e. 施工单位有违章行为的，监理没有查处的，按照《建设管理单位工程建设违章作业罚款实施细则》的处罚标准对监理人进行考核处罚；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f.其它安全文明事故问题视具体情况扣减。</w:t>
      </w:r>
    </w:p>
    <w:p>
      <w:pPr>
        <w:spacing w:line="400" w:lineRule="exact"/>
        <w:ind w:firstLine="240" w:firstLineChars="100"/>
        <w:rPr>
          <w:rFonts w:ascii="方正仿宋_GBK" w:eastAsia="方正仿宋_GBK"/>
          <w:color w:val="auto"/>
          <w:sz w:val="24"/>
          <w:highlight w:val="none"/>
        </w:rPr>
      </w:pPr>
      <w:r>
        <w:rPr>
          <w:rFonts w:hint="eastAsia" w:ascii="方正仿宋_GBK" w:eastAsia="方正仿宋_GBK"/>
          <w:color w:val="auto"/>
          <w:sz w:val="24"/>
          <w:highlight w:val="none"/>
        </w:rPr>
        <w:t>（2）质量考核金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a.因施工原因任一分项工程未达到质量目标：扣除监理费的0.5%；</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b. 因施工原因未实现零缺陷移交：扣除监理费的5%；</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c. 此项考核不超过总的监理费的10% 。      </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（3） 进度考核金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a.不能按照建设管理单位批准的进度计划或建设管理单位调整后的进度计划完工的，或按期完工但未达到合同规定的质量目标的，扣减监理费的 0.2％；</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b.其它问题酌情扣减；</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c. 此项考核不超过总的监理费的2%。</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（4）投资控制考核金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a.技经专业人员配置到位,各种联系单、变更单费用意见明确合理，合同索赔费用审核规范合理，投资费用得到有效控制，未超过批准概算，且未发生因过程控制不力造成的投资浪费。发生以上情况之一酌情扣减监理费的 0.2%；</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b. 此项考核不超过总的监理费的 2% 。</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（5）合同和信息管理考核金</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a.来往资料分发或信息传递不及时，对施工造成较大影响：扣除监理费的0.2%；</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b.工程档案（竣工资料或图纸）质量不满足档案管理有关规定或不能按照要求的时间进行移交：扣除监理费的0.2%；</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c.因对施工、设计、物资合同或技术标准的理解错误，严重影响工程建设目标实现：扣监理费的0.2%；</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d.其它问题酌情扣减；</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e. 此项考核不超过总的监理费的2% 。</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4.4 委托人可以选择以汇票方式进行决算支付。</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第5条 履约保证金</w:t>
      </w:r>
    </w:p>
    <w:p>
      <w:pPr>
        <w:spacing w:line="400" w:lineRule="exact"/>
        <w:ind w:left="196" w:leftChars="70"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在本合同签订之日监理人应向委托人支付履约保证金人民币¥</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万元（合同价的8%），若监理人违反本合同任何条款，委托人均有权没收监理人的履约保证金，监理人履行完毕本合同义务且未有任何违约行为的，委托人无息返还履约保证金。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第6条 监理人的违约责任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监理人违反合同专用条款第4.3条考核金条款的，委托人有权按照考核金条款的规定扣减考核金。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监理人违反本合同其他条款的，监理人应向委托人支付违约金¥ </w:t>
      </w:r>
      <w:r>
        <w:rPr>
          <w:rFonts w:hint="eastAsia" w:ascii="方正仿宋_GBK" w:eastAsia="方正仿宋_GBK"/>
          <w:color w:val="auto"/>
          <w:sz w:val="24"/>
          <w:highlight w:val="none"/>
          <w:u w:val="single"/>
        </w:rPr>
        <w:t xml:space="preserve">0.2 </w:t>
      </w:r>
      <w:r>
        <w:rPr>
          <w:rFonts w:hint="eastAsia" w:ascii="方正仿宋_GBK" w:eastAsia="方正仿宋_GBK"/>
          <w:color w:val="auto"/>
          <w:sz w:val="24"/>
          <w:highlight w:val="none"/>
        </w:rPr>
        <w:t>万元/次，前述考核金和违约金不足以弥补委托人的经济损失的，监理人还应当赔偿委托人的经济损失。</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关于</w:t>
      </w:r>
      <w:r>
        <w:rPr>
          <w:rFonts w:hint="eastAsia" w:ascii="方正仿宋_GBK" w:hAnsi="宋体" w:eastAsia="方正仿宋_GBK" w:cs="宋体"/>
          <w:color w:val="auto"/>
          <w:kern w:val="0"/>
          <w:sz w:val="24"/>
          <w:szCs w:val="24"/>
          <w:highlight w:val="none"/>
        </w:rPr>
        <w:t>驻地监理机构人员</w:t>
      </w:r>
      <w:r>
        <w:rPr>
          <w:rFonts w:hint="eastAsia" w:ascii="方正仿宋_GBK" w:eastAsia="方正仿宋_GBK"/>
          <w:color w:val="auto"/>
          <w:sz w:val="24"/>
          <w:highlight w:val="none"/>
        </w:rPr>
        <w:t>每月在施工现场的时间要求：</w:t>
      </w:r>
      <w:r>
        <w:rPr>
          <w:rFonts w:hint="eastAsia" w:ascii="方正仿宋_GBK" w:hAnsi="宋体" w:eastAsia="方正仿宋_GBK" w:cs="宋体"/>
          <w:color w:val="auto"/>
          <w:kern w:val="0"/>
          <w:sz w:val="24"/>
          <w:szCs w:val="24"/>
          <w:highlight w:val="none"/>
        </w:rPr>
        <w:t>总监理工程师每月出勤天数不少于5日，少于5日的，</w:t>
      </w:r>
      <w:r>
        <w:rPr>
          <w:rFonts w:hint="eastAsia" w:ascii="方正仿宋_GBK" w:eastAsia="方正仿宋_GBK"/>
          <w:color w:val="auto"/>
          <w:sz w:val="24"/>
          <w:highlight w:val="none"/>
        </w:rPr>
        <w:t>按每日1000元进行罚款；专业监理工程师每月出勤天数不少于16日，少于16日的，按每日400元进行罚款；监理员每月出勤天数不得少于25日，少于25日的，按每日200元进行罚款；以上罚款在进度款或其他款项中扣除。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出现以下情况之一时，委托人有权直接解除合同，监理人无条件退出：监理人存在挂靠行为；总监、专监经常擅自脱岗，或监理人员数量长期不足；工程质量和安全问题未及时督促施工单位整改、复验闭合。</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 第7条 争议解决</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7.1若争议经协商仍无法解决的，按以下第_2_种方式处理：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（1）仲裁：提交仲裁，按照申请仲裁时该仲裁机构有效的仲裁规则进行仲裁。仲裁裁决是终局的，对双方均有约束力。</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（2）诉讼：向委托人项目所在地人民法院提起诉讼。</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第8条 本合同在以下条件全部满足之日生效：</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合同协议书经双方法定代表人(负责人)或其授权代表签字并加盖双方公章或合同专用章。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第9条 下列附件是本专用条款不可分割的重要的组成部分，与本专用条款具有同等法律效力。</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附件1《工程监理安全文明施工管理协议》</w:t>
      </w:r>
    </w:p>
    <w:p>
      <w:pPr>
        <w:spacing w:line="400" w:lineRule="exact"/>
        <w:ind w:firstLine="570"/>
        <w:rPr>
          <w:rFonts w:ascii="方正仿宋_GBK" w:eastAsia="方正仿宋_GBK"/>
          <w:color w:val="auto"/>
          <w:sz w:val="24"/>
          <w:highlight w:val="none"/>
        </w:rPr>
      </w:pPr>
      <w:r>
        <w:rPr>
          <w:rFonts w:hint="eastAsia" w:ascii="方正仿宋_GBK" w:eastAsia="方正仿宋_GBK"/>
          <w:color w:val="auto"/>
          <w:sz w:val="24"/>
          <w:highlight w:val="none"/>
        </w:rPr>
        <w:t>第10条 通知</w:t>
      </w:r>
    </w:p>
    <w:p>
      <w:pPr>
        <w:spacing w:line="400" w:lineRule="exact"/>
        <w:ind w:firstLine="600"/>
        <w:rPr>
          <w:rFonts w:ascii="方正仿宋_GBK" w:eastAsia="方正仿宋_GBK"/>
          <w:color w:val="auto"/>
          <w:sz w:val="24"/>
          <w:highlight w:val="none"/>
        </w:rPr>
      </w:pPr>
      <w:r>
        <w:rPr>
          <w:rFonts w:hint="eastAsia" w:ascii="方正仿宋_GBK" w:eastAsia="方正仿宋_GBK"/>
          <w:color w:val="auto"/>
          <w:sz w:val="24"/>
          <w:highlight w:val="none"/>
        </w:rPr>
        <w:t>10.1因履行本合同涉及的通知事项，一方有权采用下列方式之一通知对方：</w:t>
      </w:r>
    </w:p>
    <w:p>
      <w:pPr>
        <w:spacing w:line="400" w:lineRule="exact"/>
        <w:ind w:firstLine="600" w:firstLineChars="250"/>
        <w:rPr>
          <w:rFonts w:ascii="方正仿宋_GBK" w:eastAsia="方正仿宋_GBK"/>
          <w:color w:val="auto"/>
          <w:sz w:val="24"/>
          <w:highlight w:val="none"/>
        </w:rPr>
      </w:pPr>
      <w:r>
        <w:rPr>
          <w:rFonts w:hint="eastAsia" w:ascii="方正仿宋_GBK" w:eastAsia="方正仿宋_GBK"/>
          <w:color w:val="auto"/>
          <w:sz w:val="24"/>
          <w:highlight w:val="none"/>
        </w:rPr>
        <w:t>1）电话通知。受托人确认接收委托人电话通知的电话号码为：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；委托人确认接收受托人电话通知的电话号码为：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。保证在工作时间内电话随时畅通。</w:t>
      </w:r>
    </w:p>
    <w:p>
      <w:pPr>
        <w:spacing w:line="400" w:lineRule="exact"/>
        <w:ind w:firstLine="600"/>
        <w:rPr>
          <w:rFonts w:ascii="方正仿宋_GBK" w:eastAsia="方正仿宋_GBK"/>
          <w:color w:val="auto"/>
          <w:sz w:val="24"/>
          <w:highlight w:val="none"/>
        </w:rPr>
      </w:pPr>
      <w:r>
        <w:rPr>
          <w:rFonts w:hint="eastAsia" w:ascii="方正仿宋_GBK" w:eastAsia="方正仿宋_GBK"/>
          <w:color w:val="auto"/>
          <w:sz w:val="24"/>
          <w:highlight w:val="none"/>
        </w:rPr>
        <w:t>2）当面通知。一方工作人员以口头或者书面形式当面通知对方，一方有义务签收对方的书面通知。</w:t>
      </w:r>
    </w:p>
    <w:p>
      <w:pPr>
        <w:spacing w:line="400" w:lineRule="exact"/>
        <w:ind w:firstLine="600"/>
        <w:rPr>
          <w:rFonts w:ascii="方正仿宋_GBK" w:eastAsia="方正仿宋_GBK"/>
          <w:color w:val="auto"/>
          <w:sz w:val="24"/>
          <w:highlight w:val="none"/>
        </w:rPr>
      </w:pPr>
      <w:r>
        <w:rPr>
          <w:rFonts w:hint="eastAsia" w:ascii="方正仿宋_GBK" w:eastAsia="方正仿宋_GBK"/>
          <w:color w:val="auto"/>
          <w:sz w:val="24"/>
          <w:highlight w:val="none"/>
        </w:rPr>
        <w:t>3）邮递通知。受托人确认接收委托人邮递通知的接收地址为：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，接收人为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。委托人确认接收受托人邮递通知的接收地址为：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，接收人为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。受托人应保证接收地址的准确并有义务签收委托人的邮递通知。邮件被退回或拒收的，以一方邮寄之日起的第五天视为送达日。</w:t>
      </w:r>
    </w:p>
    <w:p>
      <w:pPr>
        <w:spacing w:line="400" w:lineRule="exact"/>
        <w:ind w:firstLine="600"/>
        <w:rPr>
          <w:rFonts w:ascii="方正仿宋_GBK" w:eastAsia="方正仿宋_GBK"/>
          <w:color w:val="auto"/>
          <w:sz w:val="24"/>
          <w:highlight w:val="none"/>
        </w:rPr>
      </w:pPr>
      <w:r>
        <w:rPr>
          <w:rFonts w:hint="eastAsia" w:ascii="方正仿宋_GBK" w:eastAsia="方正仿宋_GBK"/>
          <w:color w:val="auto"/>
          <w:sz w:val="24"/>
          <w:highlight w:val="none"/>
        </w:rPr>
        <w:t>4）电子邮件通知：一方将通知以电子邮件形式发送到对方电子邮箱之日即为送达日。</w:t>
      </w:r>
    </w:p>
    <w:p>
      <w:pPr>
        <w:spacing w:line="400" w:lineRule="exact"/>
        <w:ind w:firstLine="600"/>
        <w:rPr>
          <w:rFonts w:ascii="方正仿宋_GBK" w:eastAsia="方正仿宋_GBK"/>
          <w:color w:val="auto"/>
          <w:sz w:val="24"/>
          <w:highlight w:val="none"/>
        </w:rPr>
      </w:pPr>
      <w:r>
        <w:rPr>
          <w:rFonts w:hint="eastAsia" w:ascii="方正仿宋_GBK" w:eastAsia="方正仿宋_GBK"/>
          <w:color w:val="auto"/>
          <w:sz w:val="24"/>
          <w:highlight w:val="none"/>
        </w:rPr>
        <w:t>5）传真通知：一方将通知以传真形式发送到对方传真电话之日即为送达日。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10.2以上方式无法送达的，方可采取公告送达的方式。</w:t>
      </w:r>
    </w:p>
    <w:p>
      <w:pPr>
        <w:tabs>
          <w:tab w:val="left" w:pos="7905"/>
        </w:tabs>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10.3一方变更通知或通讯地址，应自变更之日起</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日内，以书面形式通知对方；否则，由未通知方承担由此而引起的相应责任。</w:t>
      </w:r>
      <w:r>
        <w:rPr>
          <w:rFonts w:hint="eastAsia" w:ascii="方正仿宋_GBK" w:eastAsia="方正仿宋_GBK"/>
          <w:color w:val="auto"/>
          <w:sz w:val="24"/>
          <w:highlight w:val="none"/>
        </w:rPr>
        <w:br w:type="textWrapping"/>
      </w:r>
    </w:p>
    <w:p>
      <w:pPr>
        <w:jc w:val="center"/>
        <w:outlineLvl w:val="1"/>
        <w:rPr>
          <w:rFonts w:ascii="方正仿宋_GBK" w:eastAsia="方正仿宋_GBK"/>
          <w:color w:val="auto"/>
          <w:sz w:val="24"/>
          <w:highlight w:val="none"/>
        </w:rPr>
      </w:pPr>
      <w:r>
        <w:rPr>
          <w:rFonts w:ascii="方正仿宋_GBK" w:eastAsia="方正仿宋_GBK"/>
          <w:color w:val="auto"/>
          <w:sz w:val="24"/>
          <w:highlight w:val="none"/>
        </w:rPr>
        <w:br w:type="page"/>
      </w:r>
      <w:bookmarkStart w:id="74" w:name="_Toc350305915"/>
      <w:r>
        <w:rPr>
          <w:rFonts w:hint="eastAsia" w:ascii="方正仿宋_GBK" w:eastAsia="方正仿宋_GBK"/>
          <w:color w:val="auto"/>
          <w:sz w:val="24"/>
          <w:highlight w:val="none"/>
        </w:rPr>
        <w:t>第三部分  通用条款</w:t>
      </w:r>
      <w:bookmarkEnd w:id="73"/>
      <w:bookmarkEnd w:id="74"/>
      <w:bookmarkStart w:id="75" w:name="_Toc223471341"/>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第1条  定义及解释</w:t>
      </w:r>
      <w:bookmarkEnd w:id="75"/>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 定义</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 “监理”：指监理人受委托人委托对工程建设进行的监督管理。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 “项目法人”：即业主，指建设工程的出资人，包括其合法继承人和受让人。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 “委托人”：是指项目法人或在项目法人授权范围内负责对工程具体实施进行管理的实体。</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 “监理人”：指具有相应资质的受委托人委托履行监理服务的一方及其合法继承人和经允许的受让人。本条中的监理人在施工合同中称为“监理人”。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 “代表”指双方各自任命的，在本合同项下代行任命者职权的受权人。监理人代表的任命需经委托人批准。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 “监理机构”指监理人派驻工程现场实施建设监理服务的组织。</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 “总监理工程师”指监理人委派常驻工程现场、执行监理人职责的全权负责人。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 “被监理人”指由监理人根据委托人授权，对其进行监理的法人或组织，包括工程承包商、设备供应商等。</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1.1.9 “承包商”指负责工程建设的施工单位。</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 “合同”指由合同协议书、通用条款、专用条款、合同附件、竞争性磋商文件和响应文件（如果有）、成交通知书或委托函（如果有）、以及协议书中明确为合同组成部分的其它文件所组成的整体。</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1.1.11 “合同总价”指根据合同，就监理人实施和完成建设监理服务委托人应向其支付的总金额。</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1.1.12“施工合同”指委托人与承包商就工程实施所签订的合同。</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1.1.13 “工程”指委托人委托监理人实施监理的工程建设项目，详见合同协议书。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1.1.14 “书面形式”除特殊注明外指可以有形地表现所载内容的形式，包括信函、电传、电报、传真、电子数据交换和电子邮件等。</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1.1.15 “日”或“天”指以日历计算的工作日。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1.1.16 “元”指合同中作为货币单位的人民币元。</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 解释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本合同中的标题只是为了查阅方便，不应作为合同条款的一部分，也不用于对合同进行解释。</w:t>
      </w:r>
    </w:p>
    <w:p>
      <w:pPr>
        <w:spacing w:line="400" w:lineRule="exact"/>
        <w:ind w:firstLine="480" w:firstLineChars="200"/>
        <w:rPr>
          <w:rFonts w:ascii="方正仿宋_GBK" w:eastAsia="方正仿宋_GBK"/>
          <w:color w:val="auto"/>
          <w:sz w:val="24"/>
          <w:highlight w:val="none"/>
        </w:rPr>
      </w:pPr>
      <w:bookmarkStart w:id="76" w:name="_Toc223471342"/>
      <w:r>
        <w:rPr>
          <w:rFonts w:hint="eastAsia" w:ascii="方正仿宋_GBK" w:eastAsia="方正仿宋_GBK"/>
          <w:color w:val="auto"/>
          <w:sz w:val="24"/>
          <w:highlight w:val="none"/>
        </w:rPr>
        <w:t>第2条  合同的解释顺序</w:t>
      </w:r>
      <w:bookmarkEnd w:id="76"/>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下述文件应互为补充和解释，如有不清或互相矛盾之处，以下面所列顺序在前的为准。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2.1 双方在合同履行过程中达成的纪要、协议等文件。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2.2 协议书。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2.3 成交通知书或委托函（如果有）。</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2.4 合同专用条款及附件。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2.5 合同通用条款。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2.6 竞争性磋商文件和响应文件（如果有）。</w:t>
      </w:r>
    </w:p>
    <w:p>
      <w:pPr>
        <w:spacing w:line="400" w:lineRule="exact"/>
        <w:ind w:firstLine="480" w:firstLineChars="200"/>
        <w:rPr>
          <w:rFonts w:ascii="方正仿宋_GBK" w:eastAsia="方正仿宋_GBK"/>
          <w:color w:val="auto"/>
          <w:sz w:val="24"/>
          <w:highlight w:val="none"/>
        </w:rPr>
      </w:pPr>
      <w:bookmarkStart w:id="77" w:name="_Toc223471343"/>
      <w:r>
        <w:rPr>
          <w:rFonts w:hint="eastAsia" w:ascii="方正仿宋_GBK" w:eastAsia="方正仿宋_GBK"/>
          <w:color w:val="auto"/>
          <w:sz w:val="24"/>
          <w:highlight w:val="none"/>
        </w:rPr>
        <w:t>第3条  语言</w:t>
      </w:r>
      <w:bookmarkEnd w:id="77"/>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本合同以中文为合同语言和执行合同的工作语言。</w:t>
      </w:r>
    </w:p>
    <w:p>
      <w:pPr>
        <w:spacing w:line="400" w:lineRule="exact"/>
        <w:ind w:firstLine="480" w:firstLineChars="200"/>
        <w:rPr>
          <w:rFonts w:ascii="方正仿宋_GBK" w:eastAsia="方正仿宋_GBK"/>
          <w:color w:val="auto"/>
          <w:sz w:val="24"/>
          <w:highlight w:val="none"/>
        </w:rPr>
      </w:pPr>
      <w:bookmarkStart w:id="78" w:name="_Toc223471344"/>
      <w:r>
        <w:rPr>
          <w:rFonts w:hint="eastAsia" w:ascii="方正仿宋_GBK" w:eastAsia="方正仿宋_GBK"/>
          <w:color w:val="auto"/>
          <w:sz w:val="24"/>
          <w:highlight w:val="none"/>
        </w:rPr>
        <w:t>第4条  适用法律</w:t>
      </w:r>
      <w:bookmarkEnd w:id="78"/>
      <w:r>
        <w:rPr>
          <w:rFonts w:hint="eastAsia" w:ascii="方正仿宋_GBK" w:eastAsia="方正仿宋_GBK"/>
          <w:color w:val="auto"/>
          <w:sz w:val="24"/>
          <w:highlight w:val="none"/>
        </w:rPr>
        <w:t xml:space="preserve">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本合同遵循中华人民共和国法律、行政法规、部门规章及相关地方性法规、地方政府规章和规范性文件。</w:t>
      </w:r>
    </w:p>
    <w:p>
      <w:pPr>
        <w:spacing w:line="400" w:lineRule="exact"/>
        <w:ind w:firstLine="480" w:firstLineChars="200"/>
        <w:rPr>
          <w:rFonts w:ascii="方正仿宋_GBK" w:eastAsia="方正仿宋_GBK"/>
          <w:color w:val="auto"/>
          <w:sz w:val="24"/>
          <w:highlight w:val="none"/>
        </w:rPr>
      </w:pPr>
      <w:bookmarkStart w:id="79" w:name="_Toc223471345"/>
      <w:r>
        <w:rPr>
          <w:rFonts w:hint="eastAsia" w:ascii="方正仿宋_GBK" w:eastAsia="方正仿宋_GBK"/>
          <w:color w:val="auto"/>
          <w:sz w:val="24"/>
          <w:highlight w:val="none"/>
        </w:rPr>
        <w:t>第5条  转让和分包</w:t>
      </w:r>
      <w:bookmarkEnd w:id="79"/>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 没有委托人的书面同意，监理人不得将本合同下的任何义务转让给第三方。</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5.2 没有委托人的书面同意，监理人不得将本合同项下的服务对外分包，否则委托人有权拒绝支付分包部分的合同价款或终止本合同。</w:t>
      </w:r>
      <w:bookmarkStart w:id="80" w:name="_Toc223471346"/>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第6条  著作权</w:t>
      </w:r>
      <w:bookmarkEnd w:id="80"/>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委托人有权为本合同目的使用或复制此类文件，且无需取得监理人的许可。</w:t>
      </w:r>
      <w:bookmarkStart w:id="81" w:name="_Toc223471347"/>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第7条  利益冲突</w:t>
      </w:r>
      <w:bookmarkEnd w:id="81"/>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7.1 除非经委托人书面同意，监理人及其职员不应接受合同规定以外的与工程有关的利益和报酬。</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7.2 监理人不得参与可能与合同中规定的委托人的利益相冲突的任何活动。</w:t>
      </w:r>
      <w:bookmarkStart w:id="82" w:name="_Toc223471348"/>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第8条  通知</w:t>
      </w:r>
      <w:bookmarkEnd w:id="82"/>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本合同执行过程的有关通知应采用书面形式，自送达合同约定的地点时生效。通知可由专人递送，或通过传真发送或其他方式送达。</w:t>
      </w:r>
      <w:bookmarkStart w:id="83" w:name="_Toc223471349"/>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第9条  出版</w:t>
      </w:r>
      <w:bookmarkEnd w:id="83"/>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监理人可单独或与他人联合出版与本合同下服务有关的材料，但在合同履行期间或服务完成或终止后5年内出版有关材料时，则须得到委托人的批准。出版应符合保密规定。专用条款另有约定时除外。</w:t>
      </w:r>
      <w:bookmarkStart w:id="84" w:name="_Toc223471350"/>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第10条  服务范围</w:t>
      </w:r>
      <w:bookmarkEnd w:id="84"/>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监理人应履行与工程有关的服务。服务范围详见施工图。</w:t>
      </w:r>
      <w:bookmarkStart w:id="85" w:name="_Toc223471351"/>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第11条  监理人的义务</w:t>
      </w:r>
      <w:bookmarkEnd w:id="85"/>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 监理人应按合同约定提供工程监理服务。监理人在根据本合同履行其义务时，应运用合理的技能，谨慎勤勉地工作。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 当服务包括行使权力或履行授权的职责，或当委托人和任何被监理人签订的合同条款需要时，监理人应：</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11.2.1 根据委托人和被监理人签订的合同进行工作。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11.2.2 如果委托人授权，可变更任何被监理人的义务。但对于可能对费用、工程质量或工程进度产生影响的任何变更，须经委托人事先批准。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11.2.3 监理人的任何成员不得与被监理人有任何直接的经济合作关系或其他利害关系。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11.2.4 监理人应通过提供的服务使委托人减少或免除因任何被监理人索赔而造成的损失。产生这种损失时，监理人应承担因监理原因引起的费用。</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11.2.5 监理人应对监理人员进行教育培训（包括职业道德、安全教育），发给上岗证，制订职业道德守则，如发现问题应严肃查处。</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11.2.6 监理人应对监理人员的现场安全负责，并按委托人可接受的条件对下列事项进行投保:</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（1）本合同所规定的监理人应承担的责任；</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（2）监理人为实施本合同下服务所派出的人员的伤亡。</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监理人应在申请支付首笔合同价款前向委托人提交已投保上述保险的相关证明（包括保单）。</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 提供职员、设备、设施及其它资源</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11.3.1监理机构：监理人应在施工现场建立监理机构。监理机构在完成合同约定的监理工作后可撤离施工现场。监理机构的组织形式和规模，应根据合同规定的服务内容、服务期限、工程类别、规模、技术复杂程度、工程环境等因素确定。</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11.3.2 监理人员：监理人应根据本合同委派符合资质条件的监理人员。监理人派往工程现场的监理人员应能胜任其工作，并得到委托人的认可；对不胜任业务工作或违反纪律的监理人员，监理人应及时进行更换。监理人员应包括总监理工程师、专业监理工程师和监理员，必要时可配备总监理工程师代表。监理机构的监理人员应专业配套、数量满足工程监理工作的需要。</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11.3.3人员的委派及调整：监理人应于合同生效后10天内（含本数）将监理机构的组织形式、人员构成及对总监理工程师的任命书面通知委托人。当监理人员需要调整时，监理人应征得委托人同意并书面通知委托人和承包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11.3.4监理机构的要求：监理机构应根据工程项目类别、规模、技术复杂程度、工程项目所在地的环境条件，按合同约定，配备满足监理工作需要的常规检测设备和工具。监理机构应实施办公自动化和网络化，配备足够的满足监理工作需要的计算机、传真机、打印机、复印机、扫描仪、数码相机、数码摄像机等设备，接通网络保证能收发电子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11.3.5 其他资源：满足监理工作需要的办公、交通、通讯、生活设施由监理人自行负责。</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 监理人应制订监理规划、编制创优计划（若需要）、监理实施细则和安全文明施工实施措施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11.4.1 制定监理规划：</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（1）监理规划的编制应针对工程的实际情况，明确监理机构的工作目标，确定具体的监理工作制度、程序、方法和措施，并应具有可操作性；</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（2）监理规划应在合同生效及收到有关设计文件后开始编制，完成后须经监理人的技术负责人审核批准，并应在召开第一次工地会议前报送委托人；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监理规划应依据工程建设相关法律、法规及项目审批文件、与工程有关的标准、设计文件、技术资料、监理大纲、本合同条款以及与工程相关的其他合同文件进行编制。编制工作应由总监理工程师主持，专业监理工程师参加；</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监理规划主要内容应包括：工程概况、监理工作范围、监理工作内容、监理工作目标、监理工作依据、监理机构的组织形式、监理机构的人员配备计划、监理机构的人员岗位职责、监理工作程序、监理工作方法及措施、监理工作制度、监理设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（5）在监理工作实施过程中，如实际情况或条件发生重大变化需要调整监理规划时，应由总监理工程师组织专业监理工程师研究修改，按原报审程序报送委托人。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11.4.2 编制创优计划：</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本合同生效后，监理机构应根据委托人的创优规划编制创优计划（若需要）。创优计划的内容应具有可操作性，完成后必须经总监理工程师审核批准，并应在召开第一次工地会议前报送委托人。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11.4.3 监理实施细则：</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（1）监理实施细则应由专业监理工程师依据已批准的监理规划、与专业工程相关的标准、设计文件和技术资料及施工组织设计编制，并在工程施工开始前完成，报总监理工程师批准；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（2）监理实施细则主要内容应包括：专业工程的特点、监理工作的流程、监理工作的控制要点及目标值、监理工作的方法及措施；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（3）在监理工作实施过程中，监理实施细则应根据实际情况进行补充、修改和完善。</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11.4.4 安全文明施工实施措施：本合同生效后，监理机构应根据委托人的安全文明施工总体策划编制安全文明施工监理实施措施。安全文明施工监理实施措施的内容应具有可操作性，完成后必须经总监理工程师审核批准，并应在召开第一次工地会议前报送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 施工过程的监理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 编制监理工作程序：监理人应根据专业工程特点和工作内容分别制定具体的监理工作程序。工作程序应体现事前控制和主动控制的要求，应明确工作内容、行为主体、考核标准、工作时限，注重监理工作的效果。监理工作程序应符合本合同和施工合同的规定。在监理工作实施过程中，应根据实际情况的变化对监理工作程序进行调整和完善。</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11.5.2工程开工前，总监理工程师应组织专业监理工程师认真学习本合同和施工合同的内容，熟悉所有合同条款。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 参加施工图会审。在施工图会审及设计交底前，总监理工程师应组织监理人员熟悉设计文件，并对图纸中存在的问题向设计单位提出书面意见和建议，并报委托人。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11.5.4工程开工前，总监理工程师应组织专业监理工程师审查承包商报送的施工组织设计（方案）报审表，提出审查意见，并经总监理工程师审核、签认后报委托人。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11.5.5 工程开工前，总监理工程师应审查承包商现场项目管理机构的质量管理体系、技术管理体系和质量保证体系，确能保证工程项目施工质量时，予以确认。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11.5.6 分包工程开工前，专业监理工程师应审查承包商报送的分包商资格报审表和分包商有关资质资料，符合合同有关规定的，由总监理工程师予以签认。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11.5.7 专业监理工程师应按以下要求对承包商报送的测量放线控制成果及保护措施进行检查，符合要求的，专业监理工程师对承包商报送的施工测量成果报验申请表予以签认：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（1）检查承包商专职测量人员的岗位证书及测量设备检定证书；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（2）复核控制桩的校核成果、控制桩的保护措施以及平面控制网、高程控制网和临时水准点的测量成果。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11.5.8 专业监理工程师应审查承包商报送的工程开工报审表及相关资料，具备合同规定的开工条件时，由总监理工程师签发，并报委托人批准。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11.5.9 工程开工前，监理人员应参加由委托人主持召开的第一次工地会议（工程启动会、工程协调会）。</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11.5.10 在施工过程中，总监理工程师应定期主持召开工地例会。监理机构负责起草会议纪要，并与与会各方代表会签。工地例会主要内容包括：检查上次例会议定事项的落实情况，分析未完事项原因；检查分析工程项目进度计划完成情况，提出下一阶段进度目标及其落实措施；检查分析工程项目质量状况，针对存在的质量问题提出改进措施；检查工程量核定及工程款支付情况；解决需要协调的有关事项；其他有关事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11.5.11 总监理工程师或专业监理工程师应根据需要及时组织专题会议，解决施工过程中的各种专项问题。</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11.5.12 在施工过程中，承包商拟对已批准的施工组织设计进行调整、补充或变动时，应经专业监理工程师审查，并应由总监理工程师签认。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11.5.13 专业监理工程师应要求承包商报送重点部位、关键工序的施工工艺和确保工程质量的措施，审核同意后予以签认。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11.5.14 当承包商采用新材料、新工艺、新技术、新设备时，专业监理工程师应要求承包商报送相应的施工工艺措施和证明材料，组织专题论证，经审定后予以签认。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11.5.15 监理机构应对承包商在施工过程中报送的施工测量放线成果进行复验和确认。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11.5.16 专业监理工程师应对承包商报送的拟进场工程材料、构配件和设备的工程材料/构配件/设备报审表及其质量证明资料进行审核，并对进场的实物按照合同约定或有关工程质量管理文件规定的比例采用平行检验或见证取样方式进行抽检。对未经监理人员验收或验收不合格的工程材料、构配件、设备，监理人员应拒绝签认，并应签发监理工程师通知单，书面通知承包商限期将不合格的工程材料、构配件、设备撤出现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11.5.17 监理机构应定期检查承包商的直接影响工程质量的计量设备的技术状况。</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11.5.18 总监理工程师应安排监理人员对施工过程进行巡视和检查。对隐蔽工程的隐蔽过程、下道工序施工完成后难以检查的重点部位，专业监理工程师应安排监理员进行旁站。</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11.5.19 专业监理工程师应根据承包商报送的隐蔽工程报验申请表和自检结果进行现场检查，符合要求的予以签认。对未经监理人员验收或验收不合格的工序，监理人员应拒绝签认，并严禁承包商进行下一道工序的施工。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11.5.20 专业监理工程师应对承包商报送的分项工程质量验评资料进行审核，符合要求的予以签认；总监理工程师应组织监理人员对承包商报送的分部工程和单位工程质量验评资料进行审核和现场检查，符合要求的予以签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11.5.21 对施工过程中出现的质量缺陷，专业监理工程师应及时下达监理工程师通知，要求承包商整改，并检查整改结果。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11.5.22 对需要返工处理或加固补强的质量事故，总监理工程师应责令承包商报送质量事故调查报告和经设计单位等相关单位认可的处理方案，监理机构应对质量事故的处理过程和处理结果进行跟踪检查和验收。总监理工程师应及时向委托人提交有关质量事故的书面报告，并应将完整的质量事故处理记录整理归档。</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11.5.23 监理机构应按下列程序进行工程计量和工程款确定工作：</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（1）承包商统计经专业监理工程师质量验收合格的工程量，按施工合同的约定填报工程量清单和工程款支付申请表；</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（2）专业监理工程师进行现场计量，按施工合同的约定审核工程量清单和工程款支付申请表，并报总监理工程师审定。</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11.5.24 监理机构应按下列程序进行竣工结算：</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（1）承包商按施工合同规定填报竣工结算报告；</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（2）专业监理工程师审核承包商报送的竣工结算报告；</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（3）总监理工程师审定竣工结算文件。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11.5.25 监理机构应依据施工合同有关条款、施工图，对工程项目进行投资控制。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11.5.26 总监理工程师应从造价、工程的功能要求、质量和工期等方面审查工程变更的方案，并在工程变更实施前与委托人、承包商协商确定工程变更的价款。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11.5.27 监理机构应按施工合同约定进行工程量的计算和工程款的确定。</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11.5.28 专业监理工程师应及时建立月完成工程量和工作量统计表，对实际完成量与计划完成量进行比较、分析，制定调整措施，并应在监理月报中向委托人报告。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11.5.29 专业监理工程师应及时收集、整理有关的施工和监理资料，为处理费用索赔提供证据。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11.5.30 未经监理人员质量验收合格的工程量，或不符合施工合同规定的工程量，监理人员应拒绝计量。</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11.5.31 监理机构应按下列程序进行工程进度控制：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（1）总监理工程师审批承包商报送的施工总进度计划；</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（2）总监理工程师审批承包商编制的年、季、月度施工进度计划；</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（3）专业监理工程师对进度计划实施情况进行检查、分析；</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（4）当实际进度符合计划进度时，应要求承包商编制下一期进度计划；当实际进度滞后于计划进度时，专业监理工程师应书面通知承包商采取纠偏措施并监督实施。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11.5.32 专业监理工程师应依据施工合同有关条款、施工图及经过批准的施工组织设计制定进度控制方案，对进度目标进行风险分析，制定防范性对策，经总监理工程师审定后报送委托人。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11.5.33 专业监理工程师应检查进度计划的实施，并记录实际进度及其相关情况，当发现实际进度滞后于计划进度时，应签发监理工程师通知单指令承包商采取调整措施。当实际进度严重滞后于计划进度时应及时报总监理工程师，由总监理工程师与委托人商定采取进一步措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11.5.34 监理工程师应在监理月报中向委托人报告工程进度和所采取进度控制措施的执行情况，并提出合理预防由委托人原因导致的工程延期及其相关费用索赔的建议。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11.5.35 总监理工程师应组织专业监理工程师，依据有关法律、法规、工程建设强制性标准、设计文件及施工合同，对承包商报送的竣工资料进行审查，并对工程质量、安全、环保、档案等进行竣工预验收。对存在的问题，应及时要求承包商整改。整改完毕由总监理工程师签署工程竣工报验单，并在此基础上提出工程质量评估报告。工程质量评估报告应经总监理工程师和监理人技术负责人审核签字。</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11.5.36 监理机构应参加由委托人组织的竣工验收，并提供相关监理资料。对验收中提出的整改问题，监理机构应要求承包商进行整改。工程质量符合要求，由总监理工程师会同参加验收的各方签署竣工验收报告。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11.6签发暂停令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11.6.1 在发生下列情况之一时，总监理工程师应签发工程暂停令：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（1）委托人要求暂停施工；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（2）为了保证工程质量而需要进行停工处理；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（3）施工出现了安全隐患，总监理工程师认为有必要停工以消除隐患；</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（4）发生了必须暂时停止施工的紧急事件；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（5）承包商未经许可擅自施工，或拒绝监理机构管理。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11.6.2对于因承包商原因签发工程暂停令的，监理人应要求承包商进行整改，消除停工原因。整改完毕经监理人员复查，符合规定要求的，总监理工程师应及时签署工程复工报审表。总监理工程师下达工程暂停令和签署工程复工报审表，应事先向委托人报告。如出现紧急情况，危及人身、财产安全，来不及当时报告的，则在24小时内（含本数）出具书面报告。总监理工程师应根据停工原因的影响范围和影响程度，确定工程项目停工范围，按照施工合同和本合同的约定签发工程暂停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11.6.3 由于非承包商且非上述第11.6.1条中11.6.1(2)、11.6.1(3)、11.6.1(4)、11.6.1(5)原因签发工程暂停令的，总监理工程师在签发工程暂停令之前，应就有关工期和费用等事宜与承包商进行协商。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11.6.4 由于委托人原因，或其他非承包商原因导致工程暂停时，监理机构应如实记录所发生的实际情况。总监理工程师应在施工暂停原因消失，具备复工条件时，及时签署工程复工报审表，指令承包商继续施工。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11.6.5 由于承包商原因导致工程暂停，在具备恢复施工条件时，监理机构应审查承包商报送的复工申请及有关材料，同意后由总监理工程师签署工程复工报审表，指令承包商继续施工。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11.6.6 总监理工程师在签发工程暂停令到签发工程复工报审表之间的时间内，应会同有关各方按照施工合同的约定，处理因工程暂停引起的与工期、费用等有关的问题。</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 工程变更处理</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监理机构应按下列程序处理工程变更：</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11.7.1 总监理工程师组织专业监理工程师对委托人或承包商提出的工程变更进行审查。审查同意后，提交原设计单位编制设计变更文件。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11.7.2 监理机构应了解实际情况和收集与工程变更有关的资料。</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11.7.3 总监理工程师必须根据实际情况、设计变更文件和其它有关资料，按照施工合同的有关条款，在指定专业监理工程师完成下列工作后，对工程变更的费用和工期做出评估：</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（1）确定工程变更项目与原工程项目之间的类似程度和难易程度；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（2）审核工程变更项目的工程量；</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（3）审核工程变更的单价或总价。</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11.7.4 总监理工程师应就工程变更费用及工期的评估情况与承包商和委托人进行协调。</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11.7.5 总监理工程师签发工程变更单。工程变更单应包括工程变更要求、工程变更说明、工程变更费用和工期、必要的附件等内容，有设计变更文件的工程变更应附设计变更文件。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11.7.6 监理机构应根据工程变更单监督承包商实施。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11.7.7 监理机构处理工程变更应符合下列要求：</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监理机构在工程变更的质量、费用和工期方面取得委托人授权后，总监理工程师应按施工合同规定与承包商进行协商，经协商达成一致后，总监理工程师应将协商结果向委托人通报，并由委托人与承包商在变更文件上签字；</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（2）在监理机构未能就工程变更的质量、费用和工期方面取得委托人授权时，总监理工程师应协助委托人和承包商进行协商，并达成一致；</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（3）在委托人和承包商未能就工程变更的费用等方面达成协议时，监理机构应提出一个暂定的价格，作为临时支付工程进度款的依据。该项工程款最终结算时，应以委托人和承包商达成的协议为依据；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（4）未经总监理工程师审查同意而实施的工程变更，监理机构不得予以计量。</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11.8 索赔处理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11.8.1 监理机构应依据以下文件处理费用索赔：国家有关的法律、行政法规、部门规章和工程项目所在地的相关地方性法规、地方政府规章；本工程的施工合同文件；国家、部门和地方有关的标准、规范和定额；施工合同履行过程中与索赔事件有关的凭证。</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11.8.2 承包商提出费用索赔的理由同时满足以下条件时，监理机构方可受理：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（1）索赔事件造成了承包商直接经济损失；</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（2）索赔事件是由于非承包商的责任发生的；</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（3）承包商已按照施工合同规定的期限和程序提出费用索赔申请表，并附有索赔凭证材料。</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11.8.3 对承包商向委托人提出的费用索赔，监理机构应按下列程序处理：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（1）承包商在施工合同规定的期限内向监理机构提交对委托人的费用索赔意向通知书；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（2）总监理工程师指定专业监理工程师收集与索赔有关的资料；</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（3）承包商在施工合同规定的期限内向监理机构提交对委托人的费用索赔申请报告；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（4）总监理工程师初步审查费用索赔申请报告，符合第11.8.2条所规定的条件时予以受理；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（5）总监理工程师进行费用索赔审查，并在初步确定一个额度后，与承包商和委托人进行协商；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6）总监理工程师应在施工合同规定的期限内签署费用索赔审批表，或在施工合同规定的期限内发出要求承包商提交有关索赔报告的进一步详细资料的通知，待收到承包商提交的详细资料后，按本条规定的程序进行。</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11.8.4 当承包商的费用索赔要求与工程延期要求相关联时，总监理工程师在做出费用索赔的批准决定时，应与工程延期的批准联系起来，综合做出费用索赔和工程延期的决定。</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11.8.5 由于承包商的原因造成委托人的额外损失，委托人向承包商提出费用索赔时，总监理工程师在审查索赔报告后，应公正地与委托人和承包商进行协商，并及时做出答复。</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11.8.6 当承包商提出工程延期要求符合施工合同文件的规定条件时，监理机构应予以受理。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11.8.7 当影响工期事件具有持续性时，监理机构可在收到承包商提交的阶段性工程延期申请表并经过审查后，先由总监理工程师签署工程临时延期审批表并通报委托人。当承包商提交最终的工程延期申请表后，监理机构应复查工程延期及临时延期情况，并由总监理工程师签署工程最终延期审批表。</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11.8.8 监理机构在做出临时工程延期批准或最终的工程延期批准之前，均应与委托人和承包商进行协商。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11.8.9 监理机构在审查工程延期时，应依下列情况确定批准工程延期的时间：施工合同中有关工程延期的约定；工期拖延和影响工期事件的事实和程度；影响工期事件对工期影响的量化程度。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11.8.10 当承包商未能按照施工合同要求的工期竣工造成工期延误时，监理机构应按施工合同规定从承包商应得款项中扣除误期违约金和/或赔偿金。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11.8.11 监理机构有义务与施工合同争议的双方进行磋商并提出调解方案，由总监理工程师进行争议调解。当调解未能达成一致时，总监理工程师应在施工合同规定的期限内提出处理该合同争议的意见。在争议调解过程中，除已达到了施工合同规定的暂停履行合同的条件之外，监理机构应要求施工合同的双方继续履行施工合同。</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11.8.12 在施工合同争议的仲裁或诉讼过程中，监理机构接到仲裁机关或法院要求提供有关证据的通知后，应公正地向仲裁机关或法院提供与争议有关的证据。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11.9 合同终止时的处理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11.9.1 当委托人违约导致施工合同最终解除时，监理机构应就承包商按施工合同规定应得到的款项与委托人和承包商进行协商，并应按施工合同的规定从下列应得的款项中确定承包商应得到的全部款项，并书面通知委托人和承包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（1）承包商已完成的工程量表中所列的各项工作所应得的款项；</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（2）按批准的采购计划已支付的材料、设备、构配件的款项；</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（3）承包商撤离施工设备至原基地或其它目的地的合理费用；</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（4）承包商所有人员的合理遣返费用；</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（5）合理的利润补偿；</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（6）施工合同规定的委托人应支付的违约金。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11.9.2 由于承包商违约导致施工合同终止后，监理机构应按下列程序清理承包商的应得款项，或需偿还委托人的相关款项，并书面通知委托人和承包商：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（1）施工合同终止时，清理承包商已按施工合同规定实际完成的工作所应得的款项和已经得到支付的款项；</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（2）施工现场余留的材料、设备及临时工程的价值；</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（3）对已完工程进行检查和验收、移交工程资料、该部分工程的清理、质量缺陷修复等所需的费用；</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（4）施工合同规定的承包商应支付的违约金；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（5）总监理工程师按照施工合同的规定，在与委托人和承包商协商后，书面提交承包商应得款项或偿还委托人款项的证明。</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11.9.3 由于不可抗力或非委托人、承包商原因导致施工合同终止时，监理机构应按施工合同规定处理合同解除后的有关事宜。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 监理资料管理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11.10.1 施工阶段的监理资料应包括（但不限于）以下内容：施工合同及监理合同、勘察设计文件、监理规划、创优计划、监理实施细则、分包商资格报审表、设计交底与图纸会审会议纪要、施工组织设计（方案）报审表、工程开工/复工报审表及工程暂停令、测量核验资料、工程进度计划、工程材料构配件设备的质量证明文件、检查试验资料、工程变更资料、隐蔽工程验收资料、工程计量单、监理工程师通知单、监理工作联系单、报验申请表、会议纪要、来往函件、监理日记、监理月报、质量缺陷与事故的处理文件、分部工程和单位工程等验收资料、影像资料、索赔文件资料、竣工结算审核意见书、工程项目施工阶段质量评估报告等专题报告、监理工作总结。</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11.10.2 施工阶段的监理月报应包括（但不限于）以下主要内容：本月工程概况、本月工程形象进度、工程进度（本月实际完成情况与计划进度比较、对进度完成情况及采取措施效果的分析）、工程质量（本月工程质量情况分析、本月采取的工程质量措施及效果）、工程计量与工程款支付（工程量审核情况、工程款审批情况及月支付情况、工程款支付情况分析、本月采取的措施及效果）、合同其它事项的处理情况（工程变更、工程延期、费用索赔）、本月监理工作小结（对本月进度、质量、工程款支付等方面情况的综合评价，本月监理工作情况，有关本工程的意见和建议，下月监理工作的重点）。监理月报应由总监理工程师组织编制、签认后报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11.10.3 监理工作总结应包括（但不限于）以下主要内容：工程概况、监理组织机构、监理人员和投入的监理设施、本合同履行情况、监理工作成效、施工过程中出现的问题及其处理情况和建议、工程照片。施工阶段监理工作结束时，监理人应向委托人提交监理工作总结。</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11.10.4 监理资料必须及时整理、真实完整、分类有序，监理资料的管理应由总监理工程师负责，并指定专人具体实施，监理资料应在各阶段监理工作结束后及时整理归档，监理档案的编制及保存应按有关规定执行。</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11.11 监理人应遵循《建设工程监理规范》（GB50319-2000）的规定。</w:t>
      </w:r>
    </w:p>
    <w:p>
      <w:pPr>
        <w:spacing w:line="400" w:lineRule="exact"/>
        <w:ind w:firstLine="480" w:firstLineChars="200"/>
        <w:rPr>
          <w:rFonts w:ascii="方正仿宋_GBK" w:eastAsia="方正仿宋_GBK"/>
          <w:color w:val="auto"/>
          <w:sz w:val="24"/>
          <w:highlight w:val="none"/>
        </w:rPr>
      </w:pPr>
      <w:bookmarkStart w:id="86" w:name="_Toc223471352"/>
      <w:r>
        <w:rPr>
          <w:rFonts w:hint="eastAsia" w:ascii="方正仿宋_GBK" w:eastAsia="方正仿宋_GBK"/>
          <w:color w:val="auto"/>
          <w:sz w:val="24"/>
          <w:highlight w:val="none"/>
        </w:rPr>
        <w:t>第12条  监理人的权利</w:t>
      </w:r>
      <w:bookmarkEnd w:id="86"/>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12.1 有权对承包商拟进行的工程分包进行审查，并提出合理建议。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12.2 有权对工程建设有关事项包括工程规模、设计标准、规划设计、生产工艺设计和使用功能要求，向委托人提出建议。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12.3 有权对工程设计中的技术问题，按照安全和优化的原则，向设计单位提出建议；如果拟提出的建议可能会提高工程造价，或延长工期，应当事先征得委托人的同意。当发现工程设计不符合国家颁布的建设工程质量标准或设计合同约定的质量标准时，监理人应当书面报告委托人并要求设计单位更正。</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12.4 有权按照保质量、保工期和降低成本的原则，就工程施工组织设计和技术方案向承包商提出建议，并向委托人提出书面报告。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12.5 主持项目建设有关协作单位的组织协调，重要协调事项应当事先向委托人报告。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12.6 有权在征得委托人同意后，发布开工令、停工令、复工令。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12.7 有权对工程上使用的材料和施工质量进行检验。对于不符合设计要求和合同约定及国家质量标准的材料、构配件、设备，有权通知承包商停止使用；对于不符合规范和质量标准的工序、分部分项工程和不安全施工作业，有权通知承包商停工整改、返工。承包商得到监理机构复工令后才能复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12.8 有权对工程施工进度进行检查、监督。</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12.9 有权在施工合同约定的工程价格范围内，对工程款支付进行审核，有权对工程结算进行复核确认。未经总监理工程师签字确认，委托人不支付工程款。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12.10 行使本合同约定的其他权利。</w:t>
      </w:r>
    </w:p>
    <w:p>
      <w:pPr>
        <w:spacing w:line="400" w:lineRule="exact"/>
        <w:ind w:firstLine="480" w:firstLineChars="200"/>
        <w:rPr>
          <w:rFonts w:ascii="方正仿宋_GBK" w:eastAsia="方正仿宋_GBK"/>
          <w:color w:val="auto"/>
          <w:sz w:val="24"/>
          <w:highlight w:val="none"/>
        </w:rPr>
      </w:pPr>
      <w:bookmarkStart w:id="87" w:name="_Toc223471353"/>
      <w:r>
        <w:rPr>
          <w:rFonts w:hint="eastAsia" w:ascii="方正仿宋_GBK" w:eastAsia="方正仿宋_GBK"/>
          <w:color w:val="auto"/>
          <w:sz w:val="24"/>
          <w:highlight w:val="none"/>
        </w:rPr>
        <w:t>第13条  委托人的权利</w:t>
      </w:r>
      <w:bookmarkEnd w:id="87"/>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13.1 委托人有对工程规模、设计标准、规划设计、生产工艺设计和设计使用功能要求的认定权，以及对工程设计变更的审批权。</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13.2 委托人有对监理人调换总监理工程师的批准权。</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13.3 委托人有权要求监理人提交监理工作月报及监理业务范围内的专项报告。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13.4 委托人发现监理人员不按合同履行监理职责，或与承包商串通给委托人造成损失的，有权要求监理人更换监理人员，直到终止合同并要求监理人承担相应的连带赔偿责任。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 监理人在履行以下职责或行使以下权利时，需取得委托人的预先批准：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13.5.1 作出对工程质量、进度有影响的处理决定前。</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13.5.2 作出有背于设计原则的决定前。</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13.5.3 事件处理的结果对工程建成后的运行有影响时。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13.5.4 事件处理结果可能导致追加投资或延长工期时。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13.5.5 发出增减合同总价或增减工期的证明时。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13.5.6 处理重大设计变更前；</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13.5.7 批准工程任何部分的分包合同时；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13.5.8 事件处理对委托人履行合同有较大影响时。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除本合同有明文规定外，监理人无权变更施工合同内容，亦无权免除施工合同下承包商的任何义务。</w:t>
      </w:r>
    </w:p>
    <w:p>
      <w:pPr>
        <w:spacing w:line="400" w:lineRule="exact"/>
        <w:ind w:firstLine="480" w:firstLineChars="200"/>
        <w:rPr>
          <w:rFonts w:ascii="方正仿宋_GBK" w:eastAsia="方正仿宋_GBK"/>
          <w:color w:val="auto"/>
          <w:sz w:val="24"/>
          <w:highlight w:val="none"/>
        </w:rPr>
      </w:pPr>
      <w:bookmarkStart w:id="88" w:name="_Toc223471354"/>
      <w:r>
        <w:rPr>
          <w:rFonts w:hint="eastAsia" w:ascii="方正仿宋_GBK" w:eastAsia="方正仿宋_GBK"/>
          <w:color w:val="auto"/>
          <w:sz w:val="24"/>
          <w:highlight w:val="none"/>
        </w:rPr>
        <w:t>第14条  代表</w:t>
      </w:r>
      <w:bookmarkEnd w:id="88"/>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为了执行本合同，每一方应指定一位高级职员作为本方代表。如果委托人要求的话，监理人应指定一人与委托人代表建立联络关系，上述人员名单应在专用条款中明确规定。</w:t>
      </w:r>
      <w:bookmarkStart w:id="89" w:name="_Toc223471355"/>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第15条  违约责任</w:t>
      </w:r>
      <w:bookmarkEnd w:id="89"/>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15.1 委托人的违约责任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15.1.1 委托人未按照约定支付合同价款的，每延误一天，应向监理人支付相当于逾期部分价款0.21‰的违约金。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15.1.2 委托人违反约定的其他义务的，给监理人造成损失的，应当承担相应的赔偿责任。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15.2 监理人的违约责任</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发生以下情况时视为监理人违约，监理人应当按照专用条款的约定承担违约责任：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15.2.1 监理人未按照双方约定配齐相关人员，或未经委托人同意，监理人员未按本合同规定在工程现场提供监理服务。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15.2.2 建设期工程建设质量、工艺未满足达标投产要求，或发生重大质量事故。</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15.2.3 工程未按施工合同所规定的工期完成。</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15.2.4 在监理范围内发生由于施工安全方案措施造成死亡或重大设备事故。</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15.2.5 工程的静态投资被突破。</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如果上述情况被证实是由于非监理人原因造成的、且委托人认定监理人已尽到了监理职责，则监理人不承担违约责任。</w:t>
      </w:r>
    </w:p>
    <w:p>
      <w:pPr>
        <w:spacing w:line="400" w:lineRule="exact"/>
        <w:ind w:firstLine="480" w:firstLineChars="200"/>
        <w:rPr>
          <w:rFonts w:ascii="方正仿宋_GBK" w:eastAsia="方正仿宋_GBK"/>
          <w:color w:val="auto"/>
          <w:sz w:val="24"/>
          <w:highlight w:val="none"/>
        </w:rPr>
      </w:pPr>
      <w:bookmarkStart w:id="90" w:name="_Toc223471356"/>
      <w:r>
        <w:rPr>
          <w:rFonts w:hint="eastAsia" w:ascii="方正仿宋_GBK" w:eastAsia="方正仿宋_GBK"/>
          <w:color w:val="auto"/>
          <w:sz w:val="24"/>
          <w:highlight w:val="none"/>
        </w:rPr>
        <w:t>第16条  不可抗力</w:t>
      </w:r>
      <w:bookmarkEnd w:id="90"/>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16.1 不可抗力是指不能预见、不能避免并不能克服的客观情况。</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16.2 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16.3 受到不可抗力影响的一方应在不可抗力事件发生后2周内（含本数），取得有关部门关于发生不可抗力事件的证明文件，并以传真等书面形式提交另一方确认。否则，无权以不可抗力为由要求减轻或免除合同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16.4 如果不可抗力事件的影响已达120天或双方预计不可抗力事件的影响将延续120天以上（含本数）时，任何一方有权终止合同。由于合同终止所引起的遗留问题由双方友好协商解决。</w:t>
      </w:r>
    </w:p>
    <w:p>
      <w:pPr>
        <w:spacing w:line="400" w:lineRule="exact"/>
        <w:ind w:firstLine="480" w:firstLineChars="200"/>
        <w:rPr>
          <w:rFonts w:ascii="方正仿宋_GBK" w:eastAsia="方正仿宋_GBK"/>
          <w:color w:val="auto"/>
          <w:sz w:val="24"/>
          <w:highlight w:val="none"/>
        </w:rPr>
      </w:pPr>
      <w:bookmarkStart w:id="91" w:name="_Toc223471357"/>
      <w:r>
        <w:rPr>
          <w:rFonts w:hint="eastAsia" w:ascii="方正仿宋_GBK" w:eastAsia="方正仿宋_GBK"/>
          <w:color w:val="auto"/>
          <w:sz w:val="24"/>
          <w:highlight w:val="none"/>
        </w:rPr>
        <w:t>第17条  争议解决</w:t>
      </w:r>
      <w:bookmarkEnd w:id="91"/>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17.1 本合同履行过程中发生争议时，双方应本着真诚合作的精神，通过友好协商解决。</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17.2 若争议经协商仍无法解决的，按照专用条款约定的以下任一种方式处理: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（1）提交</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仲裁委员会，按照申请仲裁时该会有效的仲裁规则进行仲裁。仲裁裁决是终局的，对双方均有约束力。</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（2）向委托人项目所在地人民法院提起诉讼。</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17.3 在仲裁或诉讼期间，合同中未涉及争议部分的条款仍须履行。</w:t>
      </w:r>
    </w:p>
    <w:p>
      <w:pPr>
        <w:spacing w:line="400" w:lineRule="exact"/>
        <w:ind w:firstLine="480" w:firstLineChars="200"/>
        <w:rPr>
          <w:rFonts w:ascii="方正仿宋_GBK" w:eastAsia="方正仿宋_GBK"/>
          <w:color w:val="auto"/>
          <w:sz w:val="24"/>
          <w:highlight w:val="none"/>
        </w:rPr>
      </w:pPr>
      <w:bookmarkStart w:id="92" w:name="_Toc223471358"/>
      <w:r>
        <w:rPr>
          <w:rFonts w:hint="eastAsia" w:ascii="方正仿宋_GBK" w:eastAsia="方正仿宋_GBK"/>
          <w:color w:val="auto"/>
          <w:sz w:val="24"/>
          <w:highlight w:val="none"/>
        </w:rPr>
        <w:t>第18条  生效</w:t>
      </w:r>
      <w:bookmarkEnd w:id="92"/>
      <w:r>
        <w:rPr>
          <w:rFonts w:hint="eastAsia" w:ascii="方正仿宋_GBK" w:eastAsia="方正仿宋_GBK"/>
          <w:color w:val="auto"/>
          <w:sz w:val="24"/>
          <w:highlight w:val="none"/>
        </w:rPr>
        <w:t xml:space="preserve">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合同生效条件见专用条款。</w:t>
      </w:r>
    </w:p>
    <w:p>
      <w:pPr>
        <w:spacing w:line="400" w:lineRule="exact"/>
        <w:ind w:firstLine="480" w:firstLineChars="200"/>
        <w:rPr>
          <w:rFonts w:ascii="方正仿宋_GBK" w:eastAsia="方正仿宋_GBK"/>
          <w:color w:val="auto"/>
          <w:sz w:val="24"/>
          <w:highlight w:val="none"/>
        </w:rPr>
      </w:pPr>
      <w:bookmarkStart w:id="93" w:name="_Toc223471359"/>
      <w:bookmarkStart w:id="94" w:name="_Toc218410351"/>
      <w:r>
        <w:rPr>
          <w:rFonts w:hint="eastAsia" w:ascii="方正仿宋_GBK" w:eastAsia="方正仿宋_GBK"/>
          <w:color w:val="auto"/>
          <w:sz w:val="24"/>
          <w:highlight w:val="none"/>
        </w:rPr>
        <w:t>第19条  份数</w:t>
      </w:r>
      <w:bookmarkEnd w:id="93"/>
      <w:bookmarkEnd w:id="94"/>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本合同份数在合同协议书中约定。</w:t>
      </w:r>
    </w:p>
    <w:p>
      <w:pPr>
        <w:spacing w:line="400" w:lineRule="exact"/>
        <w:ind w:firstLine="480" w:firstLineChars="200"/>
        <w:outlineLvl w:val="1"/>
        <w:rPr>
          <w:rFonts w:ascii="方正仿宋_GBK" w:eastAsia="方正仿宋_GBK"/>
          <w:color w:val="auto"/>
          <w:sz w:val="24"/>
          <w:highlight w:val="none"/>
        </w:rPr>
      </w:pPr>
      <w:r>
        <w:rPr>
          <w:rFonts w:hint="eastAsia" w:ascii="方正仿宋_GBK" w:eastAsia="方正仿宋_GBK"/>
          <w:color w:val="auto"/>
          <w:sz w:val="24"/>
          <w:highlight w:val="none"/>
        </w:rPr>
        <w:br w:type="page"/>
      </w:r>
      <w:bookmarkStart w:id="95" w:name="_Toc350305917"/>
      <w:r>
        <w:rPr>
          <w:rFonts w:hint="eastAsia" w:ascii="方正仿宋_GBK" w:eastAsia="方正仿宋_GBK"/>
          <w:color w:val="auto"/>
          <w:sz w:val="24"/>
          <w:highlight w:val="none"/>
        </w:rPr>
        <w:t>附件1：工程监理安全文明施工管理协议</w:t>
      </w:r>
      <w:bookmarkEnd w:id="95"/>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1、总则</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为坚持“安全第一、预防为主”的方针，认真贯彻落实国家及行业有关安全生产工作的法律法规，加强对工程建设的安全管理，进一步落实各工程参建单位的安全生产责任制，确保工程项目建设过程中安全目标的实现，确保施工人员、设备及环境安全以及监理人员自身安全，依据本工程合同双方签订的监理合同（以下简称合同），特签订本《协议》。</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2、主要安全目标要求</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2.1不发生人身重伤及以上事故；轻伤负伤率≤3‰。 </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2.2不发生一般及以上的电网、设备、火灾事故。</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2.3不发生负同等及以上责任的一般及以上交通事故。 </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2.4不发生恶性误操作事故（重特大事故除外）。</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2.5不发生人员直接责任的一般事故（恶性误操作事故除外）。</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2.6不发生负有责任的外包工程人身重伤及以上事故。</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2.7不发生环境污染事故和一般及以上垮（坍）塌事故。</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3、双方责任</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3.1 委托人责任与义务</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(1）负责工程建设安全工作的总体管理和监督，对工程建设过程中的安全健康与环境工作负有全面监督、管理责任；</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(2）明确发布建设项目的安全目标和安全文明施工规定和要求，明确必须遵守的安全健康与环境保护法规；</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(3）负责组建工程项目安全委员会，并实施相应职责；</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(4）监督监理人按合同约定建立健全现场安全保证体系和安全监督体系，并督促其有效运转；</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(5）组织定期或不定期安全检查，对监理人安全管理工作进行监督、考评。</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3.2 监理人责任与义务</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(1）建立以安全责任制为中心的安全监理制度及运行机制，配备专职安全监理工程师，对项目建设过程中的安全文明施工进行全面的控制和监督；</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(2）在编制“监理大纲”、“监理规划”、“监理实施细则”时，应明确安全监理目标、计划、措施和安全监理工作程序，并建立相关的程序文件；</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审查施工承包商的项目管理实施规划（施工组织设计）、安全文明施工二次策划方案、重大技术方案以及重大项目、重要工序、危险性作业、特殊作业的安全技术措施，并监督实施，必要时实行旁站监理和跟踪控制；</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(4）在工程项目监理的全过程中，认真贯彻并监督施工单位执行国家法律法规、国家电网公司规章制度以及项目法人/委托人有关输变电工程建设安全质量管理制度；</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(5）监督检查施工承包商的现场安全文明施工状况（安全体系的运作，人员、机械、安全措施、施工环境等），发现问题及时督促整改；</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(6）协助建设管理单位或受委托组织定期或不定期安全检查、巡查，并按“三定”（定人、定时间、定项目）要求督促落实整改措施；</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(7）对自身发生的安全事故承担全部责任，对施工单位发生的重大事故、施工现场安全文明施工不满足要求，安全性评价不达标等安全管理问题承担连带监督管理责任；</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(8）参加安全事故的调查处理；</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(9）对所监理的项目安全文明施工策划方案不满足要求的，有权不予批准开工；对安全文明施工不满足要求的，有权要求施工项目部停工整改；</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(10）对施工单位存在重大安全隐患及整改不力，有权发出停工令；</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组织定期或不定期安全检查、巡查过程中，对发现的问题有权按照项目法人/委托人有关规定对施工项目部进行考核处罚（监理建立处罚台帐并统计，在施工承包合同结算时提供处罚依据），并当场开具处罚通知单；</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(12）对所监理的项目经理、安全专责工程师的安全管理工作不力，监理部有权向委托人提出调整建议；</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(13）负责现场安全信息的收集与报送。</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4、考核的资金来源</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安全考核金按合同监理费的20％计算。</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5、考核办法</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 xml:space="preserve"> 详见合同专用条款4.3-（1）条款。</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6、附则</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6.1 本《协议》作为本工程建设监理合同的附件，是其不可分割的一部分。</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6.2 本《协议》是双方合同的补充约定，安全事故发生后，双方除执行本《协议》外，还应按照国家和地方政府有关的事故调查处理有关规定接受相应的处理。</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6.3本工程建设监理合同中条款与本协议有冲突的条款，以本《协议》为准。</w:t>
      </w:r>
    </w:p>
    <w:p>
      <w:pPr>
        <w:spacing w:line="480" w:lineRule="exact"/>
        <w:rPr>
          <w:rFonts w:ascii="方正仿宋_GBK" w:eastAsia="方正仿宋_GBK"/>
          <w:color w:val="auto"/>
          <w:sz w:val="24"/>
          <w:highlight w:val="none"/>
        </w:rPr>
      </w:pPr>
    </w:p>
    <w:p>
      <w:pPr>
        <w:spacing w:line="480" w:lineRule="exact"/>
        <w:rPr>
          <w:rFonts w:ascii="方正仿宋_GBK" w:eastAsia="方正仿宋_GBK"/>
          <w:color w:val="auto"/>
          <w:sz w:val="24"/>
          <w:highlight w:val="none"/>
        </w:rPr>
      </w:pPr>
    </w:p>
    <w:p>
      <w:pPr>
        <w:spacing w:line="480" w:lineRule="exact"/>
        <w:rPr>
          <w:rFonts w:ascii="方正仿宋_GBK" w:eastAsia="方正仿宋_GBK"/>
          <w:color w:val="auto"/>
          <w:sz w:val="24"/>
          <w:highlight w:val="none"/>
        </w:rPr>
      </w:pPr>
      <w:r>
        <w:rPr>
          <w:rFonts w:hint="eastAsia" w:ascii="方正仿宋_GBK" w:eastAsia="方正仿宋_GBK"/>
          <w:color w:val="auto"/>
          <w:sz w:val="24"/>
          <w:highlight w:val="none"/>
        </w:rPr>
        <w:t>委托人（盖章）：                      监理人（盖章）：</w:t>
      </w:r>
    </w:p>
    <w:p>
      <w:pPr>
        <w:spacing w:line="480" w:lineRule="exact"/>
        <w:rPr>
          <w:rFonts w:ascii="方正仿宋_GBK" w:eastAsia="方正仿宋_GBK"/>
          <w:color w:val="auto"/>
          <w:sz w:val="24"/>
          <w:highlight w:val="none"/>
        </w:rPr>
      </w:pPr>
    </w:p>
    <w:p>
      <w:pPr>
        <w:spacing w:line="480" w:lineRule="exact"/>
        <w:rPr>
          <w:rFonts w:ascii="方正仿宋_GBK" w:eastAsia="方正仿宋_GBK"/>
          <w:color w:val="auto"/>
          <w:sz w:val="24"/>
          <w:highlight w:val="none"/>
        </w:rPr>
      </w:pPr>
      <w:r>
        <w:rPr>
          <w:rFonts w:hint="eastAsia" w:ascii="方正仿宋_GBK" w:eastAsia="方正仿宋_GBK"/>
          <w:color w:val="auto"/>
          <w:sz w:val="24"/>
          <w:highlight w:val="none"/>
        </w:rPr>
        <w:t>法定代表人（授权代表）：              法定代表人（授权代表）：</w:t>
      </w:r>
    </w:p>
    <w:p>
      <w:pPr>
        <w:rPr>
          <w:rFonts w:ascii="方正仿宋_GBK" w:eastAsia="方正仿宋_GBK"/>
          <w:color w:val="auto"/>
          <w:sz w:val="24"/>
          <w:highlight w:val="none"/>
        </w:rPr>
      </w:pPr>
    </w:p>
    <w:p>
      <w:pPr>
        <w:rPr>
          <w:rFonts w:ascii="方正仿宋_GBK" w:eastAsia="方正仿宋_GBK"/>
          <w:color w:val="auto"/>
          <w:sz w:val="24"/>
          <w:highlight w:val="none"/>
        </w:rPr>
      </w:pPr>
    </w:p>
    <w:p>
      <w:pPr>
        <w:rPr>
          <w:rFonts w:ascii="方正仿宋_GBK" w:eastAsia="方正仿宋_GBK"/>
          <w:color w:val="auto"/>
          <w:sz w:val="24"/>
          <w:highlight w:val="none"/>
        </w:rPr>
      </w:pPr>
    </w:p>
    <w:p>
      <w:pPr>
        <w:rPr>
          <w:color w:val="auto"/>
          <w:highlight w:val="none"/>
        </w:rPr>
      </w:pPr>
    </w:p>
    <w:p>
      <w:pPr>
        <w:spacing w:line="500" w:lineRule="exact"/>
        <w:ind w:firstLine="560" w:firstLineChars="200"/>
        <w:rPr>
          <w:color w:val="auto"/>
          <w:highlight w:val="none"/>
        </w:rPr>
        <w:sectPr>
          <w:headerReference r:id="rId8" w:type="default"/>
          <w:footerReference r:id="rId9" w:type="default"/>
          <w:pgSz w:w="11907" w:h="16840"/>
          <w:pgMar w:top="1134" w:right="1191" w:bottom="1134" w:left="1304" w:header="964" w:footer="992" w:gutter="0"/>
          <w:pgNumType w:fmt="numberInDash" w:start="1"/>
          <w:cols w:space="720" w:num="1"/>
          <w:docGrid w:linePitch="312" w:charSpace="0"/>
        </w:sectPr>
      </w:pPr>
    </w:p>
    <w:p>
      <w:pPr>
        <w:pStyle w:val="3"/>
        <w:spacing w:beforeLines="0" w:afterLines="0" w:line="360" w:lineRule="auto"/>
        <w:rPr>
          <w:rFonts w:ascii="方正小标宋_GBK" w:eastAsia="方正小标宋_GBK"/>
          <w:color w:val="auto"/>
          <w:highlight w:val="none"/>
        </w:rPr>
      </w:pPr>
      <w:bookmarkStart w:id="96" w:name="_Toc452024182"/>
      <w:bookmarkStart w:id="97" w:name="_Toc24896"/>
      <w:bookmarkStart w:id="98" w:name="_Toc8845"/>
      <w:bookmarkStart w:id="99" w:name="_Toc4613_WPSOffice_Level1"/>
      <w:r>
        <w:rPr>
          <w:rFonts w:hint="eastAsia" w:ascii="方正小标宋_GBK" w:eastAsia="方正小标宋_GBK"/>
          <w:color w:val="auto"/>
          <w:highlight w:val="none"/>
        </w:rPr>
        <w:t>第七篇  响应文件格式</w:t>
      </w:r>
      <w:bookmarkEnd w:id="96"/>
      <w:bookmarkEnd w:id="97"/>
      <w:bookmarkEnd w:id="98"/>
      <w:bookmarkEnd w:id="99"/>
    </w:p>
    <w:p>
      <w:pPr>
        <w:snapToGrid w:val="0"/>
        <w:spacing w:line="440" w:lineRule="exact"/>
        <w:ind w:firstLine="480"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（一）开标一览表</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（二）分项报价明细表</w:t>
      </w:r>
    </w:p>
    <w:p>
      <w:pPr>
        <w:snapToGrid w:val="0"/>
        <w:spacing w:line="440" w:lineRule="exact"/>
        <w:ind w:firstLine="480"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二、资格审查资料（含商务部分）</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（一）投标函（格式）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（二）商务条款差异表</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（三）商务部分（包括但不限于）</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（四）其它优惠承诺</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（五）营业执照（副本）或事业单位法人证书（副本）复印件并加盖供应商单位公章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（六）组织机构代码证复印件并加盖供应商单位公章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注：供应商按“三证合一”登记制度办理营业执照的，组织机构代码证和税务登记证以供应商所提供的法人营业执照（副本）复印件加盖供应商单位公章为准。</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（七）法定代表人身份证明书（格式）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（八）法定代表人授权委托书（格式）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（九）201</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年度财务状况报告（表）复印件并加盖供应商单位公章，本年度新成立的公司提供投标截止时间前一个月的财务状况报告（表）复印件并加盖供应商单位公章。（可用诚信声明代替，诚信声明格式自拟）</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（十）书面声明（格式）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（十一）税务登记证（副本）复印件和社会保险缴纳证明材料并加盖供应商单位公章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（十二）供应商信用查询结果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1.供应商须提供信用中国网站（www.creditchina.gov.cn）以下内容的查询结果网页打印件并加盖供应商单位公章。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1.1“失信被执行人”查询结果；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1.2“重大税收违法案件当事人名单”查询结果；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1.3“政府采购严重违法失信名单”的查询结果。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注：查询操作步骤见招标文件“第四篇  评标方法、评标标准、无效投标条款和废标条款”资格性检查中的注③</w:t>
      </w:r>
    </w:p>
    <w:p>
      <w:pPr>
        <w:numPr>
          <w:ilvl w:val="0"/>
          <w:numId w:val="4"/>
        </w:num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特定资格条件证明文件（按招标文件第一篇第三条第（二）项要求提供）</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（十四）其他资料</w:t>
      </w:r>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1.保证金缴纳情况证明文件并加盖供应商单位公章。</w:t>
      </w:r>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2.其他与项目有关的资料并加盖供应商单位公章。</w:t>
      </w:r>
    </w:p>
    <w:p>
      <w:pPr>
        <w:snapToGrid w:val="0"/>
        <w:spacing w:line="440" w:lineRule="exact"/>
        <w:ind w:firstLine="480"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三、监理大纲</w:t>
      </w:r>
    </w:p>
    <w:p>
      <w:pPr>
        <w:snapToGrid w:val="0"/>
        <w:spacing w:line="440" w:lineRule="exact"/>
        <w:ind w:firstLine="960" w:firstLineChars="400"/>
        <w:rPr>
          <w:rFonts w:ascii="方正仿宋_GBK" w:hAnsi="宋体" w:eastAsia="方正仿宋_GBK"/>
          <w:color w:val="auto"/>
          <w:sz w:val="24"/>
          <w:szCs w:val="24"/>
          <w:highlight w:val="none"/>
        </w:rPr>
      </w:pPr>
      <w:bookmarkStart w:id="100" w:name="_Toc452024183"/>
      <w:bookmarkStart w:id="101" w:name="_Toc429584884"/>
      <w:r>
        <w:rPr>
          <w:rFonts w:hint="eastAsia" w:ascii="方正仿宋_GBK" w:hAnsi="宋体" w:eastAsia="方正仿宋_GBK"/>
          <w:color w:val="auto"/>
          <w:sz w:val="24"/>
          <w:szCs w:val="24"/>
          <w:highlight w:val="none"/>
        </w:rPr>
        <w:t>格式自拟。</w:t>
      </w:r>
    </w:p>
    <w:p>
      <w:pPr>
        <w:spacing w:line="340" w:lineRule="exact"/>
        <w:ind w:firstLine="560" w:firstLineChars="200"/>
        <w:rPr>
          <w:rFonts w:ascii="方正仿宋_GBK" w:eastAsia="方正仿宋_GBK"/>
          <w:b/>
          <w:color w:val="auto"/>
          <w:szCs w:val="28"/>
          <w:highlight w:val="none"/>
        </w:rPr>
      </w:pPr>
    </w:p>
    <w:p>
      <w:pPr>
        <w:spacing w:line="340" w:lineRule="exact"/>
        <w:ind w:firstLine="560" w:firstLineChars="200"/>
        <w:rPr>
          <w:rFonts w:ascii="方正仿宋_GBK" w:eastAsia="方正仿宋_GBK"/>
          <w:b/>
          <w:color w:val="auto"/>
          <w:szCs w:val="28"/>
          <w:highlight w:val="none"/>
        </w:rPr>
      </w:pPr>
    </w:p>
    <w:p>
      <w:pPr>
        <w:spacing w:line="340" w:lineRule="exact"/>
        <w:ind w:firstLine="560" w:firstLineChars="200"/>
        <w:rPr>
          <w:rFonts w:ascii="宋体" w:hAnsi="宋体"/>
          <w:b/>
          <w:bCs/>
          <w:color w:val="auto"/>
          <w:szCs w:val="28"/>
          <w:highlight w:val="none"/>
        </w:rPr>
      </w:pPr>
      <w:r>
        <w:rPr>
          <w:rFonts w:hint="eastAsia" w:ascii="方正仿宋_GBK" w:eastAsia="方正仿宋_GBK"/>
          <w:b/>
          <w:color w:val="auto"/>
          <w:szCs w:val="28"/>
          <w:highlight w:val="none"/>
        </w:rPr>
        <w:t>注：</w:t>
      </w:r>
      <w:r>
        <w:rPr>
          <w:rFonts w:hint="eastAsia" w:ascii="宋体" w:hAnsi="宋体"/>
          <w:b/>
          <w:bCs/>
          <w:color w:val="auto"/>
          <w:szCs w:val="28"/>
          <w:highlight w:val="none"/>
        </w:rPr>
        <w:t>供应商须一次性提供以上所有复印件完整齐全的原件（除身份证、具有二维码的营业执照和资质证书、网上截图和已提供承诺书原件的以外）备查。</w:t>
      </w:r>
    </w:p>
    <w:p>
      <w:pPr>
        <w:pStyle w:val="4"/>
        <w:spacing w:line="500" w:lineRule="exact"/>
        <w:ind w:firstLine="560" w:firstLineChars="200"/>
        <w:rPr>
          <w:rFonts w:ascii="方正仿宋_GBK" w:eastAsia="方正仿宋_GBK"/>
          <w:b/>
          <w:color w:val="auto"/>
          <w:szCs w:val="28"/>
          <w:highlight w:val="none"/>
        </w:rPr>
      </w:pPr>
    </w:p>
    <w:p>
      <w:pPr>
        <w:pStyle w:val="4"/>
        <w:spacing w:line="500" w:lineRule="exact"/>
        <w:ind w:firstLine="560" w:firstLineChars="200"/>
        <w:rPr>
          <w:rFonts w:ascii="方正仿宋_GBK" w:eastAsia="方正仿宋_GBK"/>
          <w:b/>
          <w:color w:val="auto"/>
          <w:szCs w:val="28"/>
          <w:highlight w:val="none"/>
        </w:rPr>
      </w:pPr>
      <w:r>
        <w:rPr>
          <w:rFonts w:hint="eastAsia" w:ascii="方正仿宋_GBK" w:eastAsia="方正仿宋_GBK"/>
          <w:b/>
          <w:color w:val="auto"/>
          <w:szCs w:val="28"/>
          <w:highlight w:val="none"/>
        </w:rPr>
        <w:br w:type="page"/>
      </w:r>
      <w:r>
        <w:rPr>
          <w:rFonts w:hint="eastAsia" w:ascii="方正仿宋_GBK" w:eastAsia="方正仿宋_GBK"/>
          <w:b/>
          <w:color w:val="auto"/>
          <w:szCs w:val="28"/>
          <w:highlight w:val="none"/>
        </w:rPr>
        <w:t>一、经济文件</w:t>
      </w:r>
      <w:bookmarkEnd w:id="100"/>
      <w:bookmarkEnd w:id="101"/>
    </w:p>
    <w:p>
      <w:pPr>
        <w:tabs>
          <w:tab w:val="left" w:pos="3395"/>
          <w:tab w:val="left" w:pos="5940"/>
        </w:tabs>
        <w:autoSpaceDE w:val="0"/>
        <w:autoSpaceDN w:val="0"/>
        <w:adjustRightInd w:val="0"/>
        <w:snapToGrid w:val="0"/>
        <w:spacing w:line="360" w:lineRule="auto"/>
        <w:ind w:firstLine="281" w:firstLineChars="100"/>
        <w:jc w:val="left"/>
        <w:rPr>
          <w:rFonts w:ascii="宋体" w:hAnsi="宋体"/>
          <w:b/>
          <w:color w:val="auto"/>
          <w:kern w:val="0"/>
          <w:szCs w:val="28"/>
          <w:highlight w:val="none"/>
          <w:u w:val="single"/>
        </w:rPr>
      </w:pPr>
      <w:r>
        <w:rPr>
          <w:rFonts w:hint="eastAsia" w:ascii="宋体" w:hAnsi="宋体"/>
          <w:b/>
          <w:color w:val="auto"/>
          <w:kern w:val="0"/>
          <w:szCs w:val="28"/>
          <w:highlight w:val="none"/>
          <w:u w:val="single"/>
        </w:rPr>
        <w:br w:type="page"/>
      </w:r>
    </w:p>
    <w:p>
      <w:pPr>
        <w:tabs>
          <w:tab w:val="left" w:pos="3395"/>
          <w:tab w:val="left" w:pos="5940"/>
        </w:tabs>
        <w:autoSpaceDE w:val="0"/>
        <w:autoSpaceDN w:val="0"/>
        <w:adjustRightInd w:val="0"/>
        <w:snapToGrid w:val="0"/>
        <w:spacing w:line="360" w:lineRule="auto"/>
        <w:ind w:firstLine="281" w:firstLineChars="100"/>
        <w:jc w:val="left"/>
        <w:rPr>
          <w:rFonts w:ascii="宋体" w:hAnsi="宋体" w:cs="MingLiU"/>
          <w:b/>
          <w:color w:val="auto"/>
          <w:kern w:val="0"/>
          <w:szCs w:val="28"/>
          <w:highlight w:val="none"/>
        </w:rPr>
      </w:pPr>
      <w:r>
        <w:rPr>
          <w:rFonts w:hint="eastAsia" w:ascii="宋体" w:hAnsi="宋体"/>
          <w:b/>
          <w:color w:val="auto"/>
          <w:kern w:val="0"/>
          <w:szCs w:val="28"/>
          <w:highlight w:val="none"/>
          <w:u w:val="single"/>
        </w:rPr>
        <w:tab/>
      </w:r>
      <w:r>
        <w:rPr>
          <w:rFonts w:hint="eastAsia" w:ascii="宋体" w:hAnsi="宋体" w:cs="MingLiU"/>
          <w:b/>
          <w:color w:val="auto"/>
          <w:w w:val="198"/>
          <w:kern w:val="0"/>
          <w:szCs w:val="28"/>
          <w:highlight w:val="none"/>
          <w:u w:val="single"/>
        </w:rPr>
        <w:t xml:space="preserve">            </w:t>
      </w:r>
      <w:r>
        <w:rPr>
          <w:rFonts w:hint="eastAsia" w:ascii="宋体" w:hAnsi="宋体"/>
          <w:b/>
          <w:color w:val="auto"/>
          <w:kern w:val="0"/>
          <w:szCs w:val="28"/>
          <w:highlight w:val="none"/>
          <w:u w:val="single"/>
        </w:rPr>
        <w:t xml:space="preserve"> </w:t>
      </w:r>
      <w:r>
        <w:rPr>
          <w:rFonts w:hint="eastAsia" w:ascii="宋体" w:hAnsi="宋体" w:cs="MingLiU"/>
          <w:b/>
          <w:color w:val="auto"/>
          <w:w w:val="99"/>
          <w:kern w:val="0"/>
          <w:szCs w:val="28"/>
          <w:highlight w:val="none"/>
        </w:rPr>
        <w:t>（项目名称</w:t>
      </w:r>
      <w:r>
        <w:rPr>
          <w:rFonts w:hint="eastAsia" w:ascii="宋体" w:hAnsi="宋体" w:cs="MingLiU"/>
          <w:b/>
          <w:color w:val="auto"/>
          <w:spacing w:val="1"/>
          <w:w w:val="99"/>
          <w:kern w:val="0"/>
          <w:szCs w:val="28"/>
          <w:highlight w:val="none"/>
        </w:rPr>
        <w:t>）</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r>
        <w:rPr>
          <w:rFonts w:hint="eastAsia" w:ascii="宋体" w:hAnsi="宋体" w:cs="MingLiU"/>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响应文件</w:t>
      </w:r>
    </w:p>
    <w:p>
      <w:pPr>
        <w:autoSpaceDE w:val="0"/>
        <w:autoSpaceDN w:val="0"/>
        <w:adjustRightInd w:val="0"/>
        <w:snapToGrid w:val="0"/>
        <w:spacing w:line="360" w:lineRule="auto"/>
        <w:jc w:val="left"/>
        <w:rPr>
          <w:rFonts w:ascii="宋体" w:hAnsi="宋体" w:cs="MingLiU"/>
          <w:color w:val="auto"/>
          <w:kern w:val="0"/>
          <w:sz w:val="16"/>
          <w:szCs w:val="16"/>
          <w:highlight w:val="none"/>
        </w:rPr>
      </w:pPr>
    </w:p>
    <w:p>
      <w:pPr>
        <w:autoSpaceDE w:val="0"/>
        <w:autoSpaceDN w:val="0"/>
        <w:adjustRightInd w:val="0"/>
        <w:snapToGrid w:val="0"/>
        <w:spacing w:line="360" w:lineRule="auto"/>
        <w:jc w:val="center"/>
        <w:rPr>
          <w:rFonts w:ascii="宋体" w:hAnsi="宋体" w:cs="MingLiU"/>
          <w:b/>
          <w:color w:val="auto"/>
          <w:kern w:val="0"/>
          <w:sz w:val="36"/>
          <w:szCs w:val="36"/>
          <w:highlight w:val="none"/>
        </w:rPr>
      </w:pPr>
      <w:r>
        <w:rPr>
          <w:rFonts w:hint="eastAsia" w:ascii="宋体" w:hAnsi="宋体" w:cs="MingLiU"/>
          <w:b/>
          <w:color w:val="auto"/>
          <w:kern w:val="0"/>
          <w:sz w:val="36"/>
          <w:szCs w:val="36"/>
          <w:highlight w:val="none"/>
        </w:rPr>
        <w:t>经济部分</w:t>
      </w: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tabs>
          <w:tab w:val="left" w:pos="6080"/>
          <w:tab w:val="left" w:pos="6640"/>
        </w:tabs>
        <w:autoSpaceDE w:val="0"/>
        <w:autoSpaceDN w:val="0"/>
        <w:adjustRightInd w:val="0"/>
        <w:snapToGrid w:val="0"/>
        <w:spacing w:line="360" w:lineRule="auto"/>
        <w:jc w:val="center"/>
        <w:rPr>
          <w:rFonts w:ascii="宋体" w:hAnsi="宋体"/>
          <w:b/>
          <w:color w:val="auto"/>
          <w:w w:val="99"/>
          <w:kern w:val="0"/>
          <w:szCs w:val="28"/>
          <w:highlight w:val="none"/>
        </w:rPr>
      </w:pPr>
      <w:r>
        <w:rPr>
          <w:rFonts w:hint="eastAsia" w:ascii="宋体" w:hAnsi="宋体" w:cs="MingLiU"/>
          <w:b/>
          <w:color w:val="auto"/>
          <w:w w:val="99"/>
          <w:kern w:val="0"/>
          <w:szCs w:val="28"/>
          <w:highlight w:val="none"/>
        </w:rPr>
        <w:t>供应商</w:t>
      </w:r>
      <w:r>
        <w:rPr>
          <w:rFonts w:hint="eastAsia" w:ascii="宋体" w:hAnsi="宋体" w:cs="MingLiU"/>
          <w:b/>
          <w:color w:val="auto"/>
          <w:spacing w:val="1"/>
          <w:w w:val="99"/>
          <w:kern w:val="0"/>
          <w:szCs w:val="28"/>
          <w:highlight w:val="none"/>
        </w:rPr>
        <w:t>：</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（盖供应商单位公章章）</w:t>
      </w:r>
    </w:p>
    <w:p>
      <w:pPr>
        <w:tabs>
          <w:tab w:val="left" w:pos="6080"/>
          <w:tab w:val="left" w:pos="6640"/>
        </w:tabs>
        <w:autoSpaceDE w:val="0"/>
        <w:autoSpaceDN w:val="0"/>
        <w:adjustRightInd w:val="0"/>
        <w:snapToGrid w:val="0"/>
        <w:spacing w:line="360" w:lineRule="auto"/>
        <w:jc w:val="center"/>
        <w:rPr>
          <w:rFonts w:ascii="宋体" w:hAnsi="宋体" w:cs="MingLiU"/>
          <w:b/>
          <w:color w:val="auto"/>
          <w:kern w:val="0"/>
          <w:szCs w:val="28"/>
          <w:highlight w:val="none"/>
        </w:rPr>
      </w:pPr>
      <w:r>
        <w:rPr>
          <w:rFonts w:hint="eastAsia" w:ascii="宋体" w:hAnsi="宋体" w:cs="MingLiU"/>
          <w:b/>
          <w:color w:val="auto"/>
          <w:w w:val="99"/>
          <w:kern w:val="0"/>
          <w:szCs w:val="28"/>
          <w:highlight w:val="none"/>
        </w:rPr>
        <w:t>法定代表人或其委托代理人：</w:t>
      </w:r>
      <w:r>
        <w:rPr>
          <w:rFonts w:hint="eastAsia" w:ascii="宋体" w:hAnsi="宋体" w:cs="MingLiU"/>
          <w:b/>
          <w:color w:val="auto"/>
          <w:w w:val="198"/>
          <w:kern w:val="0"/>
          <w:szCs w:val="28"/>
          <w:highlight w:val="none"/>
          <w:u w:val="single"/>
        </w:rPr>
        <w:t xml:space="preserve"> 　　    　</w:t>
      </w:r>
      <w:bookmarkStart w:id="102" w:name="OLE_LINK1"/>
      <w:r>
        <w:rPr>
          <w:rFonts w:hint="eastAsia" w:ascii="宋体" w:hAnsi="宋体" w:cs="MingLiU"/>
          <w:b/>
          <w:color w:val="auto"/>
          <w:w w:val="99"/>
          <w:kern w:val="0"/>
          <w:szCs w:val="28"/>
          <w:highlight w:val="none"/>
        </w:rPr>
        <w:t>（签字或盖章）</w:t>
      </w:r>
      <w:bookmarkEnd w:id="102"/>
    </w:p>
    <w:p>
      <w:pPr>
        <w:tabs>
          <w:tab w:val="left" w:pos="3280"/>
          <w:tab w:val="left" w:pos="4680"/>
          <w:tab w:val="left" w:pos="6080"/>
        </w:tabs>
        <w:autoSpaceDE w:val="0"/>
        <w:autoSpaceDN w:val="0"/>
        <w:adjustRightInd w:val="0"/>
        <w:snapToGrid w:val="0"/>
        <w:spacing w:line="360" w:lineRule="auto"/>
        <w:jc w:val="center"/>
        <w:rPr>
          <w:rFonts w:ascii="宋体" w:hAnsi="宋体" w:cs="MingLiU"/>
          <w:color w:val="auto"/>
          <w:kern w:val="0"/>
          <w:sz w:val="24"/>
          <w:szCs w:val="21"/>
          <w:highlight w:val="none"/>
        </w:rPr>
      </w:pPr>
      <w:r>
        <w:rPr>
          <w:rFonts w:hint="eastAsia" w:ascii="宋体" w:hAnsi="宋体" w:cs="MingLiU"/>
          <w:b/>
          <w:color w:val="auto"/>
          <w:w w:val="99"/>
          <w:kern w:val="0"/>
          <w:szCs w:val="28"/>
          <w:highlight w:val="none"/>
          <w:u w:val="single"/>
        </w:rPr>
        <w:t xml:space="preserve">     　</w:t>
      </w:r>
      <w:r>
        <w:rPr>
          <w:rFonts w:hint="eastAsia" w:ascii="宋体" w:hAnsi="宋体" w:cs="MingLiU"/>
          <w:b/>
          <w:color w:val="auto"/>
          <w:w w:val="99"/>
          <w:kern w:val="0"/>
          <w:szCs w:val="28"/>
          <w:highlight w:val="none"/>
        </w:rPr>
        <w:t>年</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月</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日</w:t>
      </w:r>
    </w:p>
    <w:p>
      <w:pPr>
        <w:snapToGrid w:val="0"/>
        <w:spacing w:line="500" w:lineRule="exact"/>
        <w:jc w:val="center"/>
        <w:rPr>
          <w:color w:val="auto"/>
          <w:highlight w:val="none"/>
        </w:rPr>
      </w:pPr>
      <w:r>
        <w:rPr>
          <w:rFonts w:hint="eastAsia" w:ascii="方正仿宋_GBK" w:hAnsi="宋体" w:eastAsia="方正仿宋_GBK"/>
          <w:color w:val="auto"/>
          <w:szCs w:val="36"/>
          <w:highlight w:val="none"/>
        </w:rPr>
        <w:br w:type="page"/>
      </w:r>
      <w:r>
        <w:rPr>
          <w:rFonts w:hint="eastAsia" w:ascii="方正仿宋_GBK" w:hAnsi="宋体" w:eastAsia="方正仿宋_GBK"/>
          <w:color w:val="auto"/>
          <w:szCs w:val="36"/>
          <w:highlight w:val="none"/>
        </w:rPr>
        <w:t>目  录</w:t>
      </w:r>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（一）开标一览表</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（二）分项报价明细表</w:t>
      </w:r>
    </w:p>
    <w:p>
      <w:pPr>
        <w:snapToGrid w:val="0"/>
        <w:spacing w:line="500" w:lineRule="exact"/>
        <w:jc w:val="center"/>
        <w:rPr>
          <w:rFonts w:ascii="方正仿宋_GBK" w:hAnsi="宋体" w:eastAsia="方正仿宋_GBK"/>
          <w:color w:val="auto"/>
          <w:szCs w:val="36"/>
          <w:highlight w:val="none"/>
        </w:rPr>
      </w:pPr>
      <w:r>
        <w:rPr>
          <w:rFonts w:hint="eastAsia" w:ascii="方正仿宋_GBK" w:hAnsi="宋体" w:eastAsia="方正仿宋_GBK"/>
          <w:color w:val="auto"/>
          <w:szCs w:val="36"/>
          <w:highlight w:val="none"/>
        </w:rPr>
        <w:br w:type="page"/>
      </w:r>
      <w:r>
        <w:rPr>
          <w:rFonts w:hint="eastAsia" w:ascii="方正仿宋_GBK" w:hAnsi="宋体" w:eastAsia="方正仿宋_GBK"/>
          <w:color w:val="auto"/>
          <w:szCs w:val="36"/>
          <w:highlight w:val="none"/>
        </w:rPr>
        <w:t>（一）开标一览表</w:t>
      </w:r>
    </w:p>
    <w:p>
      <w:pPr>
        <w:spacing w:line="500" w:lineRule="exact"/>
        <w:ind w:firstLine="240" w:firstLineChars="1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招标项目名称：</w:t>
      </w:r>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943"/>
        <w:gridCol w:w="2250"/>
        <w:gridCol w:w="187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供应商名称</w:t>
            </w:r>
          </w:p>
        </w:tc>
        <w:tc>
          <w:tcPr>
            <w:tcW w:w="7840" w:type="dxa"/>
            <w:gridSpan w:val="4"/>
            <w:vAlign w:val="center"/>
          </w:tcPr>
          <w:p>
            <w:pPr>
              <w:spacing w:line="500" w:lineRule="exact"/>
              <w:jc w:val="center"/>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3731" w:type="dxa"/>
            <w:gridSpan w:val="2"/>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招标项目名称</w:t>
            </w:r>
          </w:p>
        </w:tc>
        <w:tc>
          <w:tcPr>
            <w:tcW w:w="2250" w:type="dxa"/>
            <w:vAlign w:val="center"/>
          </w:tcPr>
          <w:p>
            <w:pPr>
              <w:snapToGrid w:val="0"/>
              <w:spacing w:line="240" w:lineRule="atLeast"/>
              <w:jc w:val="center"/>
              <w:rPr>
                <w:rFonts w:hint="eastAsia" w:ascii="方正仿宋_GBK" w:hAnsi="方正仿宋_GBK" w:eastAsia="方正仿宋_GBK"/>
                <w:color w:val="auto"/>
                <w:sz w:val="21"/>
                <w:szCs w:val="28"/>
                <w:highlight w:val="none"/>
                <w:lang w:eastAsia="zh-CN"/>
              </w:rPr>
            </w:pPr>
            <w:r>
              <w:rPr>
                <w:rFonts w:hint="eastAsia" w:ascii="方正仿宋_GBK" w:hAnsi="方正仿宋_GBK" w:eastAsia="方正仿宋_GBK"/>
                <w:color w:val="auto"/>
                <w:sz w:val="21"/>
                <w:szCs w:val="28"/>
                <w:highlight w:val="none"/>
              </w:rPr>
              <w:t>投标</w:t>
            </w:r>
            <w:r>
              <w:rPr>
                <w:rFonts w:hint="eastAsia" w:ascii="方正仿宋_GBK" w:hAnsi="方正仿宋_GBK" w:eastAsia="方正仿宋_GBK"/>
                <w:color w:val="auto"/>
                <w:sz w:val="21"/>
                <w:szCs w:val="28"/>
                <w:highlight w:val="none"/>
                <w:lang w:eastAsia="zh-CN"/>
              </w:rPr>
              <w:t>总</w:t>
            </w:r>
            <w:r>
              <w:rPr>
                <w:rFonts w:hint="eastAsia" w:ascii="方正仿宋_GBK" w:hAnsi="方正仿宋_GBK" w:eastAsia="方正仿宋_GBK"/>
                <w:color w:val="auto"/>
                <w:sz w:val="21"/>
                <w:szCs w:val="28"/>
                <w:highlight w:val="none"/>
              </w:rPr>
              <w:t>报价</w:t>
            </w:r>
            <w:r>
              <w:rPr>
                <w:rFonts w:hint="eastAsia" w:ascii="方正仿宋_GBK" w:hAnsi="方正仿宋_GBK" w:eastAsia="方正仿宋_GBK"/>
                <w:color w:val="auto"/>
                <w:sz w:val="21"/>
                <w:szCs w:val="28"/>
                <w:highlight w:val="none"/>
                <w:lang w:eastAsia="zh-CN"/>
              </w:rPr>
              <w:t>（元）</w:t>
            </w:r>
          </w:p>
          <w:p>
            <w:pPr>
              <w:snapToGrid w:val="0"/>
              <w:spacing w:line="240" w:lineRule="atLeast"/>
              <w:jc w:val="center"/>
              <w:rPr>
                <w:rFonts w:ascii="方正仿宋_GBK" w:hAnsi="方正仿宋_GBK" w:eastAsia="方正仿宋_GBK"/>
                <w:color w:val="auto"/>
                <w:sz w:val="21"/>
                <w:szCs w:val="28"/>
                <w:highlight w:val="none"/>
              </w:rPr>
            </w:pPr>
            <w:r>
              <w:rPr>
                <w:rFonts w:hint="eastAsia" w:ascii="方正仿宋_GBK" w:hAnsi="方正仿宋_GBK" w:eastAsia="方正仿宋_GBK"/>
                <w:color w:val="auto"/>
                <w:sz w:val="21"/>
                <w:szCs w:val="28"/>
                <w:highlight w:val="none"/>
              </w:rPr>
              <w:t>（小写）</w:t>
            </w:r>
          </w:p>
        </w:tc>
        <w:tc>
          <w:tcPr>
            <w:tcW w:w="1875"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方正仿宋_GBK" w:eastAsia="方正仿宋_GBK"/>
                <w:color w:val="auto"/>
                <w:sz w:val="21"/>
                <w:szCs w:val="28"/>
                <w:highlight w:val="none"/>
              </w:rPr>
              <w:t>监理服务期</w:t>
            </w:r>
          </w:p>
        </w:tc>
        <w:tc>
          <w:tcPr>
            <w:tcW w:w="1772"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交货地点（</w:t>
            </w:r>
            <w:r>
              <w:rPr>
                <w:rFonts w:hint="eastAsia" w:ascii="方正仿宋_GBK" w:hAnsi="宋体" w:eastAsia="方正仿宋_GBK"/>
                <w:color w:val="auto"/>
                <w:sz w:val="21"/>
                <w:szCs w:val="21"/>
                <w:highlight w:val="none"/>
              </w:rPr>
              <w:t>或为：</w:t>
            </w:r>
            <w:r>
              <w:rPr>
                <w:rFonts w:hint="eastAsia" w:ascii="方正仿宋_GBK" w:hAnsi="宋体" w:eastAsia="方正仿宋_GBK"/>
                <w:color w:val="auto"/>
                <w:sz w:val="21"/>
                <w:szCs w:val="28"/>
                <w:highlight w:val="none"/>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3731" w:type="dxa"/>
            <w:gridSpan w:val="2"/>
            <w:tcBorders>
              <w:bottom w:val="single" w:color="auto" w:sz="4" w:space="0"/>
            </w:tcBorders>
            <w:vAlign w:val="center"/>
          </w:tcPr>
          <w:p>
            <w:pPr>
              <w:spacing w:line="500" w:lineRule="exact"/>
              <w:jc w:val="center"/>
              <w:rPr>
                <w:rFonts w:hint="eastAsia" w:ascii="方正仿宋_GBK" w:hAnsi="宋体" w:eastAsia="方正仿宋_GBK"/>
                <w:color w:val="auto"/>
                <w:sz w:val="21"/>
                <w:szCs w:val="28"/>
                <w:highlight w:val="none"/>
                <w:lang w:eastAsia="zh-CN"/>
              </w:rPr>
            </w:pPr>
            <w:r>
              <w:rPr>
                <w:rFonts w:hint="eastAsia" w:ascii="方正仿宋_GBK" w:hAnsi="宋体" w:eastAsia="方正仿宋_GBK"/>
                <w:color w:val="auto"/>
                <w:sz w:val="21"/>
                <w:szCs w:val="28"/>
                <w:highlight w:val="none"/>
                <w:lang w:eastAsia="zh-CN"/>
              </w:rPr>
              <w:t>四川外国语大学游泳池监理单位服务采购（第二次）</w:t>
            </w:r>
          </w:p>
        </w:tc>
        <w:tc>
          <w:tcPr>
            <w:tcW w:w="2250" w:type="dxa"/>
            <w:tcBorders>
              <w:bottom w:val="single" w:color="auto" w:sz="4" w:space="0"/>
            </w:tcBorders>
          </w:tcPr>
          <w:p>
            <w:pPr>
              <w:spacing w:line="500" w:lineRule="exact"/>
              <w:jc w:val="center"/>
              <w:rPr>
                <w:rFonts w:ascii="方正仿宋_GBK" w:hAnsi="宋体" w:eastAsia="方正仿宋_GBK"/>
                <w:color w:val="auto"/>
                <w:sz w:val="21"/>
                <w:szCs w:val="28"/>
                <w:highlight w:val="none"/>
              </w:rPr>
            </w:pPr>
          </w:p>
        </w:tc>
        <w:tc>
          <w:tcPr>
            <w:tcW w:w="1875" w:type="dxa"/>
            <w:tcBorders>
              <w:bottom w:val="single" w:color="auto" w:sz="4" w:space="0"/>
            </w:tcBorders>
          </w:tcPr>
          <w:p>
            <w:pPr>
              <w:spacing w:line="500" w:lineRule="exact"/>
              <w:jc w:val="center"/>
              <w:rPr>
                <w:rFonts w:ascii="方正仿宋_GBK" w:hAnsi="宋体" w:eastAsia="方正仿宋_GBK"/>
                <w:color w:val="auto"/>
                <w:sz w:val="21"/>
                <w:szCs w:val="28"/>
                <w:highlight w:val="none"/>
              </w:rPr>
            </w:pPr>
          </w:p>
        </w:tc>
        <w:tc>
          <w:tcPr>
            <w:tcW w:w="1772" w:type="dxa"/>
            <w:tcBorders>
              <w:bottom w:val="single" w:color="auto" w:sz="4" w:space="0"/>
            </w:tcBorders>
          </w:tcPr>
          <w:p>
            <w:pPr>
              <w:spacing w:line="500" w:lineRule="exact"/>
              <w:jc w:val="center"/>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vAlign w:val="center"/>
          </w:tcPr>
          <w:p>
            <w:pPr>
              <w:spacing w:line="560" w:lineRule="exact"/>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 xml:space="preserve">监理服务费投标总报价（大写）：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5"/>
            <w:vAlign w:val="center"/>
          </w:tcPr>
          <w:p>
            <w:pPr>
              <w:pStyle w:val="34"/>
              <w:spacing w:line="500" w:lineRule="exact"/>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 xml:space="preserve">备注： </w:t>
            </w:r>
          </w:p>
        </w:tc>
      </w:tr>
    </w:tbl>
    <w:p>
      <w:pPr>
        <w:pStyle w:val="34"/>
        <w:spacing w:line="500" w:lineRule="exact"/>
        <w:rPr>
          <w:rFonts w:ascii="方正仿宋_GBK" w:hAnsi="宋体" w:eastAsia="方正仿宋_GBK"/>
          <w:color w:val="auto"/>
          <w:sz w:val="24"/>
          <w:szCs w:val="28"/>
          <w:highlight w:val="none"/>
        </w:rPr>
      </w:pPr>
    </w:p>
    <w:p>
      <w:pPr>
        <w:rPr>
          <w:color w:val="auto"/>
          <w:highlight w:val="none"/>
        </w:rPr>
      </w:pPr>
    </w:p>
    <w:p>
      <w:pPr>
        <w:spacing w:line="500" w:lineRule="exact"/>
        <w:rPr>
          <w:rFonts w:ascii="方正仿宋_GBK" w:hAnsi="宋体" w:eastAsia="方正仿宋_GBK"/>
          <w:color w:val="auto"/>
          <w:sz w:val="24"/>
          <w:szCs w:val="28"/>
          <w:highlight w:val="none"/>
        </w:rPr>
      </w:pPr>
    </w:p>
    <w:p>
      <w:pPr>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                                   法定代表人授权代表：</w:t>
      </w:r>
    </w:p>
    <w:p>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（供应商单位公章）                               （签字或盖章）</w:t>
      </w:r>
    </w:p>
    <w:p>
      <w:pPr>
        <w:spacing w:line="500" w:lineRule="exact"/>
        <w:rPr>
          <w:rFonts w:ascii="方正仿宋_GBK" w:hAnsi="宋体" w:eastAsia="方正仿宋_GBK"/>
          <w:color w:val="auto"/>
          <w:sz w:val="24"/>
          <w:szCs w:val="28"/>
          <w:highlight w:val="none"/>
        </w:rPr>
      </w:pPr>
    </w:p>
    <w:p>
      <w:pPr>
        <w:spacing w:line="500" w:lineRule="exact"/>
        <w:rPr>
          <w:rFonts w:ascii="方正仿宋_GBK" w:hAnsi="宋体" w:eastAsia="方正仿宋_GBK"/>
          <w:color w:val="auto"/>
          <w:sz w:val="24"/>
          <w:szCs w:val="28"/>
          <w:highlight w:val="none"/>
        </w:rPr>
      </w:pPr>
    </w:p>
    <w:p>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年     月     日</w:t>
      </w:r>
    </w:p>
    <w:p>
      <w:pPr>
        <w:snapToGrid w:val="0"/>
        <w:spacing w:line="500" w:lineRule="exact"/>
        <w:ind w:firstLine="480" w:firstLineChars="200"/>
        <w:rPr>
          <w:rFonts w:ascii="方正仿宋_GBK" w:hAnsi="宋体" w:eastAsia="方正仿宋_GBK"/>
          <w:color w:val="auto"/>
          <w:sz w:val="24"/>
          <w:szCs w:val="28"/>
          <w:highlight w:val="none"/>
        </w:rPr>
      </w:pPr>
    </w:p>
    <w:p>
      <w:pPr>
        <w:snapToGrid w:val="0"/>
        <w:spacing w:line="500" w:lineRule="exact"/>
        <w:ind w:firstLine="480" w:firstLineChars="200"/>
        <w:rPr>
          <w:rFonts w:ascii="方正仿宋_GBK" w:hAnsi="宋体" w:eastAsia="方正仿宋_GBK"/>
          <w:color w:val="auto"/>
          <w:sz w:val="24"/>
          <w:szCs w:val="28"/>
          <w:highlight w:val="none"/>
        </w:rPr>
      </w:pPr>
    </w:p>
    <w:p>
      <w:pPr>
        <w:snapToGrid w:val="0"/>
        <w:spacing w:line="500" w:lineRule="exact"/>
        <w:ind w:firstLine="480" w:firstLineChars="200"/>
        <w:rPr>
          <w:rFonts w:ascii="方正仿宋_GBK" w:hAnsi="宋体" w:eastAsia="方正仿宋_GBK"/>
          <w:color w:val="auto"/>
          <w:sz w:val="24"/>
          <w:szCs w:val="28"/>
          <w:highlight w:val="none"/>
        </w:rPr>
      </w:pPr>
    </w:p>
    <w:p>
      <w:pPr>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说明：</w:t>
      </w:r>
    </w:p>
    <w:p>
      <w:pPr>
        <w:spacing w:line="500" w:lineRule="exact"/>
        <w:ind w:firstLine="480" w:firstLineChars="200"/>
        <w:rPr>
          <w:rFonts w:ascii="方正仿宋_GBK" w:eastAsia="方正仿宋_GBK"/>
          <w:color w:val="auto"/>
          <w:sz w:val="24"/>
          <w:szCs w:val="28"/>
          <w:highlight w:val="none"/>
        </w:rPr>
      </w:pPr>
      <w:r>
        <w:rPr>
          <w:rFonts w:hint="eastAsia" w:ascii="方正仿宋_GBK" w:hAnsi="宋体" w:eastAsia="方正仿宋_GBK"/>
          <w:color w:val="auto"/>
          <w:sz w:val="24"/>
          <w:szCs w:val="28"/>
          <w:highlight w:val="none"/>
        </w:rPr>
        <w:t>1、开标一览表按格式填列；</w:t>
      </w:r>
      <w:r>
        <w:rPr>
          <w:rFonts w:hint="eastAsia" w:ascii="方正仿宋_GBK" w:eastAsia="方正仿宋_GBK"/>
          <w:color w:val="auto"/>
          <w:sz w:val="24"/>
          <w:szCs w:val="28"/>
          <w:highlight w:val="none"/>
        </w:rPr>
        <w:t>内容必须进行打印，手写无效。</w:t>
      </w:r>
    </w:p>
    <w:p>
      <w:pPr>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2、开标一览表，务必填写清楚，准确无误；</w:t>
      </w:r>
    </w:p>
    <w:p>
      <w:pPr>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3、若以联合体参与投标的，应在“供应商名称”处注明所有联合体名称。</w:t>
      </w:r>
    </w:p>
    <w:p>
      <w:pPr>
        <w:snapToGrid w:val="0"/>
        <w:spacing w:line="500" w:lineRule="exact"/>
        <w:ind w:firstLine="560" w:firstLineChars="200"/>
        <w:rPr>
          <w:rFonts w:ascii="方正仿宋_GBK" w:hAnsi="宋体" w:eastAsia="方正仿宋_GBK"/>
          <w:color w:val="auto"/>
          <w:szCs w:val="36"/>
          <w:highlight w:val="none"/>
        </w:rPr>
      </w:pPr>
      <w:r>
        <w:rPr>
          <w:rFonts w:hint="eastAsia" w:ascii="方正仿宋_GBK" w:eastAsia="方正仿宋_GBK"/>
          <w:color w:val="auto"/>
          <w:szCs w:val="28"/>
          <w:highlight w:val="none"/>
        </w:rPr>
        <w:br w:type="page"/>
      </w:r>
      <w:r>
        <w:rPr>
          <w:rFonts w:hint="eastAsia" w:ascii="方正仿宋_GBK" w:hAnsi="宋体" w:eastAsia="方正仿宋_GBK"/>
          <w:color w:val="auto"/>
          <w:szCs w:val="36"/>
          <w:highlight w:val="none"/>
        </w:rPr>
        <w:t>（二）分项报价明细表</w:t>
      </w:r>
    </w:p>
    <w:p>
      <w:pPr>
        <w:jc w:val="center"/>
        <w:rPr>
          <w:rFonts w:ascii="仿宋" w:hAnsi="仿宋" w:eastAsia="仿宋"/>
          <w:b/>
          <w:color w:val="auto"/>
          <w:szCs w:val="28"/>
          <w:highlight w:val="none"/>
        </w:rPr>
      </w:pPr>
    </w:p>
    <w:p>
      <w:pPr>
        <w:jc w:val="center"/>
        <w:rPr>
          <w:rFonts w:ascii="仿宋" w:hAnsi="仿宋" w:eastAsia="仿宋"/>
          <w:b/>
          <w:color w:val="auto"/>
          <w:szCs w:val="28"/>
          <w:highlight w:val="none"/>
        </w:rPr>
      </w:pPr>
      <w:r>
        <w:rPr>
          <w:rFonts w:hint="eastAsia" w:ascii="仿宋" w:hAnsi="仿宋" w:eastAsia="仿宋"/>
          <w:b/>
          <w:color w:val="auto"/>
          <w:szCs w:val="28"/>
          <w:highlight w:val="none"/>
        </w:rPr>
        <w:t>明细报价表</w:t>
      </w:r>
    </w:p>
    <w:p>
      <w:pPr>
        <w:pStyle w:val="2"/>
        <w:ind w:left="0" w:firstLine="4216" w:firstLineChars="1500"/>
        <w:rPr>
          <w:rFonts w:eastAsia="仿宋"/>
          <w:color w:val="auto"/>
          <w:highlight w:val="none"/>
        </w:rPr>
      </w:pPr>
      <w:r>
        <w:rPr>
          <w:rFonts w:hint="eastAsia" w:ascii="仿宋" w:hAnsi="仿宋" w:eastAsia="仿宋"/>
          <w:color w:val="auto"/>
          <w:szCs w:val="28"/>
          <w:highlight w:val="none"/>
        </w:rPr>
        <w:t>格式自拟</w:t>
      </w:r>
    </w:p>
    <w:p>
      <w:pPr>
        <w:spacing w:line="500" w:lineRule="exact"/>
        <w:ind w:firstLine="480" w:firstLineChars="200"/>
        <w:rPr>
          <w:rFonts w:ascii="方正仿宋_GBK" w:hAnsi="宋体" w:eastAsia="方正仿宋_GBK"/>
          <w:color w:val="auto"/>
          <w:sz w:val="24"/>
          <w:szCs w:val="28"/>
          <w:highlight w:val="none"/>
        </w:rPr>
      </w:pPr>
    </w:p>
    <w:p>
      <w:pPr>
        <w:pStyle w:val="2"/>
        <w:ind w:left="0" w:firstLine="0"/>
        <w:rPr>
          <w:rFonts w:ascii="方正仿宋_GBK" w:hAnsi="宋体" w:eastAsia="方正仿宋_GBK"/>
          <w:color w:val="auto"/>
          <w:sz w:val="24"/>
          <w:szCs w:val="28"/>
          <w:highlight w:val="none"/>
        </w:rPr>
      </w:pPr>
    </w:p>
    <w:p>
      <w:pPr>
        <w:rPr>
          <w:rFonts w:ascii="方正仿宋_GBK" w:hAnsi="宋体" w:eastAsia="方正仿宋_GBK"/>
          <w:color w:val="auto"/>
          <w:sz w:val="24"/>
          <w:szCs w:val="28"/>
          <w:highlight w:val="none"/>
        </w:rPr>
      </w:pPr>
    </w:p>
    <w:p>
      <w:pPr>
        <w:pStyle w:val="2"/>
        <w:ind w:left="0" w:firstLine="0"/>
        <w:rPr>
          <w:rFonts w:ascii="方正仿宋_GBK" w:hAnsi="宋体" w:eastAsia="方正仿宋_GBK"/>
          <w:color w:val="auto"/>
          <w:sz w:val="24"/>
          <w:szCs w:val="28"/>
          <w:highlight w:val="none"/>
        </w:rPr>
      </w:pPr>
    </w:p>
    <w:p>
      <w:pPr>
        <w:rPr>
          <w:color w:val="auto"/>
          <w:highlight w:val="none"/>
        </w:rPr>
      </w:pPr>
    </w:p>
    <w:p>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                                  法定代表人授权代表：</w:t>
      </w:r>
    </w:p>
    <w:p>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（供应商公章）                               （签字或盖章）</w:t>
      </w:r>
    </w:p>
    <w:p>
      <w:pPr>
        <w:spacing w:line="500" w:lineRule="exact"/>
        <w:rPr>
          <w:rFonts w:ascii="方正仿宋_GBK" w:hAnsi="宋体" w:eastAsia="方正仿宋_GBK"/>
          <w:color w:val="auto"/>
          <w:sz w:val="24"/>
          <w:szCs w:val="28"/>
          <w:highlight w:val="none"/>
        </w:rPr>
      </w:pPr>
    </w:p>
    <w:p>
      <w:pPr>
        <w:spacing w:line="500" w:lineRule="exact"/>
        <w:rPr>
          <w:rFonts w:ascii="方正仿宋_GBK" w:hAnsi="宋体" w:eastAsia="方正仿宋_GBK"/>
          <w:color w:val="auto"/>
          <w:sz w:val="24"/>
          <w:szCs w:val="28"/>
          <w:highlight w:val="none"/>
        </w:rPr>
      </w:pPr>
    </w:p>
    <w:p>
      <w:pPr>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年     月     日</w:t>
      </w:r>
    </w:p>
    <w:p>
      <w:pPr>
        <w:snapToGrid w:val="0"/>
        <w:spacing w:line="500" w:lineRule="exact"/>
        <w:ind w:firstLine="480" w:firstLineChars="200"/>
        <w:rPr>
          <w:rFonts w:ascii="方正仿宋_GBK" w:hAnsi="宋体" w:eastAsia="方正仿宋_GBK"/>
          <w:color w:val="auto"/>
          <w:sz w:val="24"/>
          <w:szCs w:val="28"/>
          <w:highlight w:val="none"/>
        </w:rPr>
      </w:pPr>
    </w:p>
    <w:p>
      <w:pPr>
        <w:snapToGrid w:val="0"/>
        <w:spacing w:line="440" w:lineRule="exact"/>
        <w:ind w:firstLine="480"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br w:type="page"/>
      </w:r>
      <w:r>
        <w:rPr>
          <w:rFonts w:hint="eastAsia" w:ascii="方正仿宋_GBK" w:hAnsi="宋体" w:eastAsia="方正仿宋_GBK"/>
          <w:b/>
          <w:color w:val="auto"/>
          <w:szCs w:val="28"/>
          <w:highlight w:val="none"/>
        </w:rPr>
        <w:t>二、资格审查资料（含商务部分）</w:t>
      </w:r>
    </w:p>
    <w:p>
      <w:pPr>
        <w:tabs>
          <w:tab w:val="left" w:pos="3395"/>
          <w:tab w:val="left" w:pos="5940"/>
        </w:tabs>
        <w:autoSpaceDE w:val="0"/>
        <w:autoSpaceDN w:val="0"/>
        <w:adjustRightInd w:val="0"/>
        <w:snapToGrid w:val="0"/>
        <w:spacing w:line="360" w:lineRule="auto"/>
        <w:ind w:firstLine="281" w:firstLineChars="100"/>
        <w:jc w:val="center"/>
        <w:rPr>
          <w:rFonts w:ascii="宋体" w:hAnsi="宋体"/>
          <w:b/>
          <w:color w:val="auto"/>
          <w:kern w:val="0"/>
          <w:szCs w:val="28"/>
          <w:highlight w:val="none"/>
        </w:rPr>
      </w:pPr>
      <w:r>
        <w:rPr>
          <w:rFonts w:hint="eastAsia" w:ascii="宋体" w:hAnsi="宋体"/>
          <w:b/>
          <w:color w:val="auto"/>
          <w:kern w:val="0"/>
          <w:szCs w:val="28"/>
          <w:highlight w:val="none"/>
          <w:u w:val="single"/>
        </w:rPr>
        <w:br w:type="page"/>
      </w:r>
      <w:bookmarkStart w:id="103" w:name="_Toc10841"/>
      <w:bookmarkStart w:id="104" w:name="_Toc9188_WPSOffice_Level1"/>
      <w:r>
        <w:rPr>
          <w:rFonts w:hint="eastAsia" w:ascii="宋体" w:hAnsi="宋体"/>
          <w:b/>
          <w:color w:val="auto"/>
          <w:kern w:val="0"/>
          <w:szCs w:val="28"/>
          <w:highlight w:val="none"/>
        </w:rPr>
        <w:t>目  录</w:t>
      </w:r>
      <w:bookmarkEnd w:id="103"/>
      <w:bookmarkEnd w:id="104"/>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（一）投标函（格式）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（二）商务条款差异表</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（三）商务部分（包括但不限于）</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（四）其它优惠承诺</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（五）营业执照（副本）或事业单位法人证书（副本）复印件并加盖供应商单位公章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（六）组织机构代码证复印件并加盖供应商单位公章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注：供应商按“三证合一”登记制度办理营业执照的，组织机构代码证和税务登记证以供应商所提供的法人营业执照（副本）复印件加盖供应商单位公章为准。</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（七）法定代表人身份证明书（格式）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（八）法定代表人授权委托书（格式）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（九）201</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年度财务状况报告（表）复印件并加盖供应商单位公章，本年度新成立的公司提供投标截止时间前一个月的财务状况报告（表）复印件并加盖供应商单位公章。（可用诚信声明代替，诚信声明格式自拟）</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（十）书面声明（格式）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（十一）税务登记证（副本）复印件和社会保险缴纳证明材料并加盖供应商单位公章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（十二）供应商信用查询结果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1.供应商须提供信用中国网站（www.creditchina.gov.cn）以下内容的查询结果网页打印件并加盖供应商单位公章。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bookmarkStart w:id="105" w:name="_Toc18126"/>
      <w:bookmarkStart w:id="106" w:name="_Toc11908_WPSOffice_Level1"/>
      <w:r>
        <w:rPr>
          <w:rFonts w:hint="eastAsia" w:ascii="方正仿宋_GBK" w:hAnsi="宋体" w:eastAsia="方正仿宋_GBK"/>
          <w:color w:val="auto"/>
          <w:sz w:val="24"/>
          <w:szCs w:val="24"/>
          <w:highlight w:val="none"/>
        </w:rPr>
        <w:t>1.1“失信被执行人”查询结果；</w:t>
      </w:r>
      <w:bookmarkEnd w:id="105"/>
      <w:bookmarkEnd w:id="106"/>
    </w:p>
    <w:p>
      <w:pPr>
        <w:snapToGrid w:val="0"/>
        <w:spacing w:line="440" w:lineRule="exact"/>
        <w:ind w:firstLine="480" w:firstLineChars="200"/>
        <w:rPr>
          <w:rFonts w:ascii="方正仿宋_GBK" w:hAnsi="宋体" w:eastAsia="方正仿宋_GBK"/>
          <w:color w:val="auto"/>
          <w:sz w:val="24"/>
          <w:szCs w:val="24"/>
          <w:highlight w:val="none"/>
        </w:rPr>
      </w:pPr>
      <w:bookmarkStart w:id="107" w:name="_Toc20749"/>
      <w:bookmarkStart w:id="108" w:name="_Toc5151_WPSOffice_Level1"/>
      <w:r>
        <w:rPr>
          <w:rFonts w:hint="eastAsia" w:ascii="方正仿宋_GBK" w:hAnsi="宋体" w:eastAsia="方正仿宋_GBK"/>
          <w:color w:val="auto"/>
          <w:sz w:val="24"/>
          <w:szCs w:val="24"/>
          <w:highlight w:val="none"/>
        </w:rPr>
        <w:t>1.2“重大税收违法案件当事人名单”查询结果；</w:t>
      </w:r>
      <w:bookmarkEnd w:id="107"/>
      <w:bookmarkEnd w:id="108"/>
    </w:p>
    <w:p>
      <w:pPr>
        <w:snapToGrid w:val="0"/>
        <w:spacing w:line="440" w:lineRule="exact"/>
        <w:ind w:firstLine="480" w:firstLineChars="200"/>
        <w:rPr>
          <w:rFonts w:ascii="方正仿宋_GBK" w:hAnsi="宋体" w:eastAsia="方正仿宋_GBK"/>
          <w:color w:val="auto"/>
          <w:sz w:val="24"/>
          <w:szCs w:val="24"/>
          <w:highlight w:val="none"/>
        </w:rPr>
      </w:pPr>
      <w:bookmarkStart w:id="109" w:name="_Toc16457_WPSOffice_Level1"/>
      <w:bookmarkStart w:id="110" w:name="_Toc7595"/>
      <w:r>
        <w:rPr>
          <w:rFonts w:hint="eastAsia" w:ascii="方正仿宋_GBK" w:hAnsi="宋体" w:eastAsia="方正仿宋_GBK"/>
          <w:color w:val="auto"/>
          <w:sz w:val="24"/>
          <w:szCs w:val="24"/>
          <w:highlight w:val="none"/>
        </w:rPr>
        <w:t>1.3“政府采购严重违法失信名单”的查询结果。</w:t>
      </w:r>
      <w:bookmarkEnd w:id="109"/>
      <w:bookmarkEnd w:id="110"/>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注：查询操作步骤见招标文件“第四篇  评标方法、评标标准、无效投标条款和废标条款”资格性检查中的注③</w:t>
      </w:r>
    </w:p>
    <w:p>
      <w:pPr>
        <w:numPr>
          <w:ilvl w:val="0"/>
          <w:numId w:val="4"/>
        </w:numPr>
        <w:snapToGrid w:val="0"/>
        <w:spacing w:line="440" w:lineRule="exact"/>
        <w:ind w:firstLine="480" w:firstLineChars="200"/>
        <w:rPr>
          <w:rFonts w:ascii="方正仿宋_GBK" w:hAnsi="宋体" w:eastAsia="方正仿宋_GBK"/>
          <w:color w:val="auto"/>
          <w:sz w:val="24"/>
          <w:szCs w:val="24"/>
          <w:highlight w:val="none"/>
        </w:rPr>
      </w:pPr>
      <w:bookmarkStart w:id="111" w:name="_Toc5939"/>
      <w:bookmarkStart w:id="112" w:name="_Toc7309_WPSOffice_Level1"/>
      <w:r>
        <w:rPr>
          <w:rFonts w:hint="eastAsia" w:ascii="方正仿宋_GBK" w:hAnsi="宋体" w:eastAsia="方正仿宋_GBK"/>
          <w:color w:val="auto"/>
          <w:sz w:val="24"/>
          <w:szCs w:val="24"/>
          <w:highlight w:val="none"/>
        </w:rPr>
        <w:t>特定资格条件证明文件（按招标文件第一篇第三条第（二）项要求提供）</w:t>
      </w:r>
      <w:bookmarkEnd w:id="111"/>
      <w:bookmarkEnd w:id="112"/>
    </w:p>
    <w:p>
      <w:pPr>
        <w:snapToGrid w:val="0"/>
        <w:spacing w:line="440" w:lineRule="exact"/>
        <w:ind w:firstLine="480" w:firstLineChars="200"/>
        <w:rPr>
          <w:rFonts w:ascii="方正仿宋_GBK" w:hAnsi="宋体" w:eastAsia="方正仿宋_GBK"/>
          <w:color w:val="auto"/>
          <w:sz w:val="24"/>
          <w:szCs w:val="24"/>
          <w:highlight w:val="none"/>
        </w:rPr>
      </w:pPr>
      <w:bookmarkStart w:id="113" w:name="_Toc15981_WPSOffice_Level1"/>
      <w:bookmarkStart w:id="114" w:name="_Toc26657"/>
      <w:r>
        <w:rPr>
          <w:rFonts w:hint="eastAsia" w:ascii="方正仿宋_GBK" w:hAnsi="宋体" w:eastAsia="方正仿宋_GBK"/>
          <w:color w:val="auto"/>
          <w:sz w:val="24"/>
          <w:szCs w:val="24"/>
          <w:highlight w:val="none"/>
        </w:rPr>
        <w:t>（十四）其他资料</w:t>
      </w:r>
      <w:bookmarkEnd w:id="113"/>
      <w:bookmarkEnd w:id="114"/>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1.保证金缴纳情况证明文件并加盖供应商单位公章。</w:t>
      </w:r>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2.其他与项目有关的资料并加盖供应商单位公章。</w:t>
      </w:r>
    </w:p>
    <w:p>
      <w:pPr>
        <w:tabs>
          <w:tab w:val="left" w:pos="3395"/>
          <w:tab w:val="left" w:pos="5940"/>
        </w:tabs>
        <w:autoSpaceDE w:val="0"/>
        <w:autoSpaceDN w:val="0"/>
        <w:adjustRightInd w:val="0"/>
        <w:snapToGrid w:val="0"/>
        <w:spacing w:line="360" w:lineRule="auto"/>
        <w:ind w:firstLine="281" w:firstLineChars="100"/>
        <w:jc w:val="center"/>
        <w:rPr>
          <w:rFonts w:ascii="宋体" w:hAnsi="宋体"/>
          <w:b/>
          <w:color w:val="auto"/>
          <w:kern w:val="0"/>
          <w:szCs w:val="28"/>
          <w:highlight w:val="none"/>
          <w:u w:val="single"/>
        </w:rPr>
      </w:pPr>
      <w:r>
        <w:rPr>
          <w:rFonts w:hint="eastAsia" w:ascii="宋体" w:hAnsi="宋体"/>
          <w:b/>
          <w:color w:val="auto"/>
          <w:kern w:val="0"/>
          <w:szCs w:val="28"/>
          <w:highlight w:val="none"/>
          <w:u w:val="single"/>
        </w:rPr>
        <w:br w:type="page"/>
      </w:r>
    </w:p>
    <w:p>
      <w:pPr>
        <w:tabs>
          <w:tab w:val="left" w:pos="3395"/>
          <w:tab w:val="left" w:pos="5940"/>
        </w:tabs>
        <w:autoSpaceDE w:val="0"/>
        <w:autoSpaceDN w:val="0"/>
        <w:adjustRightInd w:val="0"/>
        <w:snapToGrid w:val="0"/>
        <w:spacing w:line="360" w:lineRule="auto"/>
        <w:ind w:firstLine="281" w:firstLineChars="100"/>
        <w:jc w:val="left"/>
        <w:rPr>
          <w:rFonts w:ascii="宋体" w:hAnsi="宋体"/>
          <w:b/>
          <w:color w:val="auto"/>
          <w:kern w:val="0"/>
          <w:szCs w:val="28"/>
          <w:highlight w:val="none"/>
          <w:u w:val="single"/>
        </w:rPr>
      </w:pPr>
    </w:p>
    <w:p>
      <w:pPr>
        <w:tabs>
          <w:tab w:val="left" w:pos="3395"/>
          <w:tab w:val="left" w:pos="5940"/>
        </w:tabs>
        <w:autoSpaceDE w:val="0"/>
        <w:autoSpaceDN w:val="0"/>
        <w:adjustRightInd w:val="0"/>
        <w:snapToGrid w:val="0"/>
        <w:spacing w:line="360" w:lineRule="auto"/>
        <w:ind w:firstLine="281" w:firstLineChars="100"/>
        <w:jc w:val="left"/>
        <w:rPr>
          <w:rFonts w:ascii="宋体" w:hAnsi="宋体" w:cs="MingLiU"/>
          <w:b/>
          <w:color w:val="auto"/>
          <w:kern w:val="0"/>
          <w:szCs w:val="28"/>
          <w:highlight w:val="none"/>
        </w:rPr>
      </w:pPr>
      <w:r>
        <w:rPr>
          <w:rFonts w:hint="eastAsia" w:ascii="宋体" w:hAnsi="宋体"/>
          <w:b/>
          <w:color w:val="auto"/>
          <w:kern w:val="0"/>
          <w:szCs w:val="28"/>
          <w:highlight w:val="none"/>
          <w:u w:val="single"/>
        </w:rPr>
        <w:tab/>
      </w:r>
      <w:r>
        <w:rPr>
          <w:rFonts w:hint="eastAsia" w:ascii="宋体" w:hAnsi="宋体" w:cs="MingLiU"/>
          <w:b/>
          <w:color w:val="auto"/>
          <w:w w:val="198"/>
          <w:kern w:val="0"/>
          <w:szCs w:val="28"/>
          <w:highlight w:val="none"/>
          <w:u w:val="single"/>
        </w:rPr>
        <w:t xml:space="preserve">            </w:t>
      </w:r>
      <w:r>
        <w:rPr>
          <w:rFonts w:hint="eastAsia" w:ascii="宋体" w:hAnsi="宋体"/>
          <w:b/>
          <w:color w:val="auto"/>
          <w:kern w:val="0"/>
          <w:szCs w:val="28"/>
          <w:highlight w:val="none"/>
          <w:u w:val="single"/>
        </w:rPr>
        <w:t xml:space="preserve"> </w:t>
      </w:r>
      <w:r>
        <w:rPr>
          <w:rFonts w:hint="eastAsia" w:ascii="宋体" w:hAnsi="宋体" w:cs="MingLiU"/>
          <w:b/>
          <w:color w:val="auto"/>
          <w:w w:val="99"/>
          <w:kern w:val="0"/>
          <w:szCs w:val="28"/>
          <w:highlight w:val="none"/>
        </w:rPr>
        <w:t>（项目名称</w:t>
      </w:r>
      <w:r>
        <w:rPr>
          <w:rFonts w:hint="eastAsia" w:ascii="宋体" w:hAnsi="宋体" w:cs="MingLiU"/>
          <w:b/>
          <w:color w:val="auto"/>
          <w:spacing w:val="1"/>
          <w:w w:val="99"/>
          <w:kern w:val="0"/>
          <w:szCs w:val="28"/>
          <w:highlight w:val="none"/>
        </w:rPr>
        <w:t>）</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r>
        <w:rPr>
          <w:rFonts w:hint="eastAsia" w:ascii="宋体" w:hAnsi="宋体" w:cs="MingLiU"/>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响应文件</w:t>
      </w:r>
    </w:p>
    <w:p>
      <w:pPr>
        <w:autoSpaceDE w:val="0"/>
        <w:autoSpaceDN w:val="0"/>
        <w:adjustRightInd w:val="0"/>
        <w:snapToGrid w:val="0"/>
        <w:spacing w:line="360" w:lineRule="auto"/>
        <w:jc w:val="left"/>
        <w:rPr>
          <w:rFonts w:ascii="宋体" w:hAnsi="宋体" w:cs="MingLiU"/>
          <w:color w:val="auto"/>
          <w:kern w:val="0"/>
          <w:sz w:val="16"/>
          <w:szCs w:val="16"/>
          <w:highlight w:val="none"/>
        </w:rPr>
      </w:pPr>
    </w:p>
    <w:p>
      <w:pPr>
        <w:autoSpaceDE w:val="0"/>
        <w:autoSpaceDN w:val="0"/>
        <w:adjustRightInd w:val="0"/>
        <w:snapToGrid w:val="0"/>
        <w:spacing w:line="360" w:lineRule="auto"/>
        <w:jc w:val="center"/>
        <w:rPr>
          <w:rFonts w:ascii="宋体" w:hAnsi="宋体" w:cs="MingLiU"/>
          <w:b/>
          <w:color w:val="auto"/>
          <w:kern w:val="0"/>
          <w:sz w:val="20"/>
          <w:highlight w:val="none"/>
        </w:rPr>
      </w:pPr>
      <w:r>
        <w:rPr>
          <w:rFonts w:hint="eastAsia" w:ascii="方正仿宋_GBK" w:hAnsi="宋体" w:eastAsia="方正仿宋_GBK"/>
          <w:b/>
          <w:color w:val="auto"/>
          <w:szCs w:val="28"/>
          <w:highlight w:val="none"/>
        </w:rPr>
        <w:t>资格审查资料（含商务部分）</w:t>
      </w: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tabs>
          <w:tab w:val="left" w:pos="6080"/>
          <w:tab w:val="left" w:pos="6640"/>
        </w:tabs>
        <w:autoSpaceDE w:val="0"/>
        <w:autoSpaceDN w:val="0"/>
        <w:adjustRightInd w:val="0"/>
        <w:snapToGrid w:val="0"/>
        <w:spacing w:line="360" w:lineRule="auto"/>
        <w:jc w:val="center"/>
        <w:rPr>
          <w:rFonts w:ascii="宋体" w:hAnsi="宋体"/>
          <w:b/>
          <w:color w:val="auto"/>
          <w:w w:val="99"/>
          <w:kern w:val="0"/>
          <w:szCs w:val="28"/>
          <w:highlight w:val="none"/>
        </w:rPr>
      </w:pPr>
      <w:r>
        <w:rPr>
          <w:rFonts w:hint="eastAsia" w:ascii="宋体" w:hAnsi="宋体" w:cs="MingLiU"/>
          <w:b/>
          <w:color w:val="auto"/>
          <w:w w:val="99"/>
          <w:kern w:val="0"/>
          <w:szCs w:val="28"/>
          <w:highlight w:val="none"/>
        </w:rPr>
        <w:t>供应商</w:t>
      </w:r>
      <w:r>
        <w:rPr>
          <w:rFonts w:hint="eastAsia" w:ascii="宋体" w:hAnsi="宋体" w:cs="MingLiU"/>
          <w:b/>
          <w:color w:val="auto"/>
          <w:spacing w:val="1"/>
          <w:w w:val="99"/>
          <w:kern w:val="0"/>
          <w:szCs w:val="28"/>
          <w:highlight w:val="none"/>
        </w:rPr>
        <w:t>：</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（盖供应商单位公章章）</w:t>
      </w:r>
    </w:p>
    <w:p>
      <w:pPr>
        <w:tabs>
          <w:tab w:val="left" w:pos="6080"/>
          <w:tab w:val="left" w:pos="6640"/>
        </w:tabs>
        <w:autoSpaceDE w:val="0"/>
        <w:autoSpaceDN w:val="0"/>
        <w:adjustRightInd w:val="0"/>
        <w:snapToGrid w:val="0"/>
        <w:spacing w:line="360" w:lineRule="auto"/>
        <w:jc w:val="center"/>
        <w:rPr>
          <w:rFonts w:ascii="宋体" w:hAnsi="宋体" w:cs="MingLiU"/>
          <w:b/>
          <w:color w:val="auto"/>
          <w:kern w:val="0"/>
          <w:szCs w:val="28"/>
          <w:highlight w:val="none"/>
        </w:rPr>
      </w:pPr>
      <w:r>
        <w:rPr>
          <w:rFonts w:hint="eastAsia" w:ascii="宋体" w:hAnsi="宋体" w:cs="MingLiU"/>
          <w:b/>
          <w:color w:val="auto"/>
          <w:w w:val="99"/>
          <w:kern w:val="0"/>
          <w:szCs w:val="28"/>
          <w:highlight w:val="none"/>
        </w:rPr>
        <w:t>法定代表人或其委托代理人：</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color w:val="auto"/>
          <w:kern w:val="0"/>
          <w:sz w:val="24"/>
          <w:szCs w:val="21"/>
          <w:highlight w:val="none"/>
        </w:rPr>
      </w:pPr>
      <w:r>
        <w:rPr>
          <w:rFonts w:hint="eastAsia" w:ascii="宋体" w:hAnsi="宋体" w:cs="MingLiU"/>
          <w:b/>
          <w:color w:val="auto"/>
          <w:w w:val="99"/>
          <w:kern w:val="0"/>
          <w:szCs w:val="28"/>
          <w:highlight w:val="none"/>
          <w:u w:val="single"/>
        </w:rPr>
        <w:t xml:space="preserve">     　</w:t>
      </w:r>
      <w:r>
        <w:rPr>
          <w:rFonts w:hint="eastAsia" w:ascii="宋体" w:hAnsi="宋体" w:cs="MingLiU"/>
          <w:b/>
          <w:color w:val="auto"/>
          <w:w w:val="99"/>
          <w:kern w:val="0"/>
          <w:szCs w:val="28"/>
          <w:highlight w:val="none"/>
        </w:rPr>
        <w:t>年</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月</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日</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（一）投标函（格式）</w:t>
      </w:r>
    </w:p>
    <w:p>
      <w:pPr>
        <w:snapToGrid w:val="0"/>
        <w:spacing w:beforeLines="50" w:line="500" w:lineRule="exact"/>
        <w:jc w:val="center"/>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（一）投标函（格式）</w:t>
      </w:r>
    </w:p>
    <w:p>
      <w:pPr>
        <w:spacing w:line="500" w:lineRule="exact"/>
        <w:rPr>
          <w:rFonts w:ascii="方正仿宋_GBK" w:hAnsi="宋体" w:eastAsia="方正仿宋_GBK"/>
          <w:color w:val="auto"/>
          <w:sz w:val="24"/>
          <w:szCs w:val="28"/>
          <w:highlight w:val="none"/>
        </w:rPr>
      </w:pPr>
    </w:p>
    <w:p>
      <w:pPr>
        <w:spacing w:line="500" w:lineRule="exact"/>
        <w:ind w:firstLine="480" w:firstLineChars="200"/>
        <w:rPr>
          <w:rFonts w:ascii="方正仿宋_GBK" w:hAnsi="宋体" w:eastAsia="方正仿宋_GBK"/>
          <w:color w:val="auto"/>
          <w:sz w:val="24"/>
          <w:szCs w:val="28"/>
          <w:highlight w:val="none"/>
          <w:u w:val="single"/>
        </w:rPr>
      </w:pPr>
      <w:r>
        <w:rPr>
          <w:rFonts w:hint="eastAsia" w:ascii="方正仿宋_GBK" w:hAnsi="宋体" w:eastAsia="方正仿宋_GBK"/>
          <w:color w:val="auto"/>
          <w:sz w:val="24"/>
          <w:szCs w:val="28"/>
          <w:highlight w:val="none"/>
        </w:rPr>
        <w:t>招标项目名称：</w:t>
      </w:r>
      <w:r>
        <w:rPr>
          <w:rFonts w:hint="eastAsia" w:ascii="方正仿宋_GBK" w:hAnsi="宋体" w:eastAsia="方正仿宋_GBK"/>
          <w:color w:val="auto"/>
          <w:sz w:val="24"/>
          <w:szCs w:val="28"/>
          <w:highlight w:val="none"/>
          <w:u w:val="single"/>
        </w:rPr>
        <w:t xml:space="preserve">                                             </w:t>
      </w:r>
    </w:p>
    <w:p>
      <w:pPr>
        <w:spacing w:line="500" w:lineRule="exact"/>
        <w:rPr>
          <w:rFonts w:ascii="方正仿宋_GBK" w:hAnsi="宋体" w:eastAsia="方正仿宋_GBK"/>
          <w:color w:val="auto"/>
          <w:sz w:val="24"/>
          <w:szCs w:val="28"/>
          <w:highlight w:val="none"/>
        </w:rPr>
      </w:pPr>
    </w:p>
    <w:p>
      <w:pPr>
        <w:tabs>
          <w:tab w:val="left" w:pos="6300"/>
        </w:tabs>
        <w:snapToGrid w:val="0"/>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致：</w:t>
      </w:r>
      <w:r>
        <w:rPr>
          <w:rFonts w:hint="eastAsia" w:ascii="方正仿宋_GBK" w:hAnsi="宋体" w:eastAsia="方正仿宋_GBK"/>
          <w:color w:val="auto"/>
          <w:sz w:val="24"/>
          <w:szCs w:val="28"/>
          <w:highlight w:val="none"/>
          <w:u w:val="single"/>
        </w:rPr>
        <w:t xml:space="preserve">                    </w:t>
      </w:r>
      <w:r>
        <w:rPr>
          <w:rFonts w:hint="eastAsia" w:ascii="方正仿宋_GBK" w:hAnsi="宋体" w:eastAsia="方正仿宋_GBK"/>
          <w:color w:val="auto"/>
          <w:sz w:val="24"/>
          <w:szCs w:val="28"/>
          <w:highlight w:val="none"/>
        </w:rPr>
        <w:t>（采购代理机构名称）：</w:t>
      </w:r>
    </w:p>
    <w:p>
      <w:pPr>
        <w:snapToGrid w:val="0"/>
        <w:spacing w:beforeLines="50"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u w:val="single"/>
        </w:rPr>
        <w:t xml:space="preserve">                        </w:t>
      </w:r>
      <w:r>
        <w:rPr>
          <w:rFonts w:hint="eastAsia" w:ascii="方正仿宋_GBK" w:hAnsi="宋体" w:eastAsia="方正仿宋_GBK"/>
          <w:color w:val="auto"/>
          <w:sz w:val="24"/>
          <w:szCs w:val="28"/>
          <w:highlight w:val="none"/>
        </w:rPr>
        <w:t>（供应商名称）系中华人民共和国合法企业，注册地址：</w:t>
      </w:r>
      <w:r>
        <w:rPr>
          <w:rFonts w:hint="eastAsia" w:ascii="方正仿宋_GBK" w:hAnsi="宋体" w:eastAsia="方正仿宋_GBK"/>
          <w:color w:val="auto"/>
          <w:sz w:val="24"/>
          <w:szCs w:val="28"/>
          <w:highlight w:val="none"/>
          <w:u w:val="single"/>
        </w:rPr>
        <w:t xml:space="preserve">                               </w:t>
      </w:r>
      <w:r>
        <w:rPr>
          <w:rFonts w:hint="eastAsia" w:ascii="方正仿宋_GBK" w:hAnsi="宋体" w:eastAsia="方正仿宋_GBK"/>
          <w:color w:val="auto"/>
          <w:sz w:val="24"/>
          <w:szCs w:val="28"/>
          <w:highlight w:val="none"/>
        </w:rPr>
        <w:t>。我方就参加本次投标有关事项郑重声明如下：</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一、我方完全理解并接受该项目竞争性磋商文件所有要求。</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二、我方提交的所有响应文件、资料都是准确和真实的，如有虚假或隐瞒，我方愿意承担一切法律责任。</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三、我方承诺按照竞争性磋商文件要求，提供招标项目的技术服务。</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四、我方按竞争性磋商文件要求提交的响应文件为：响应文件正本1份，副本</w:t>
      </w:r>
      <w:r>
        <w:rPr>
          <w:rFonts w:hint="eastAsia" w:ascii="方正仿宋_GBK" w:hAnsi="宋体" w:eastAsia="方正仿宋_GBK"/>
          <w:color w:val="auto"/>
          <w:sz w:val="24"/>
          <w:szCs w:val="28"/>
          <w:highlight w:val="none"/>
          <w:u w:val="single"/>
        </w:rPr>
        <w:t xml:space="preserve">   </w:t>
      </w:r>
      <w:r>
        <w:rPr>
          <w:rFonts w:hint="eastAsia" w:ascii="方正仿宋_GBK" w:hAnsi="宋体" w:eastAsia="方正仿宋_GBK"/>
          <w:color w:val="auto"/>
          <w:sz w:val="24"/>
          <w:szCs w:val="28"/>
          <w:highlight w:val="none"/>
        </w:rPr>
        <w:t>份。</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五、我方承诺：本次投标的投标有效期为90天。</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六、我方投标报价为闭口价。即在投标有效期和合同有效期内，该报价固定不变。</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七、如果我方中标，我方将履行竞争性磋商文件中规定的各项要求以及我方响应文件的各项承诺，按《政府采购法》、《合同法》及合同约定条款承担我方责任。</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八、我方未</w:t>
      </w:r>
      <w:r>
        <w:rPr>
          <w:rFonts w:ascii="方正仿宋_GBK" w:hAnsi="宋体" w:eastAsia="方正仿宋_GBK"/>
          <w:color w:val="auto"/>
          <w:sz w:val="24"/>
          <w:szCs w:val="24"/>
          <w:highlight w:val="none"/>
        </w:rPr>
        <w:t>为采购项目提供整体设计、规范编制或者项目管理、监理、检测等服务</w:t>
      </w:r>
      <w:r>
        <w:rPr>
          <w:rFonts w:hint="eastAsia" w:ascii="方正仿宋_GBK" w:hAnsi="宋体" w:eastAsia="方正仿宋_GBK"/>
          <w:color w:val="auto"/>
          <w:sz w:val="24"/>
          <w:szCs w:val="24"/>
          <w:highlight w:val="none"/>
        </w:rPr>
        <w:t>。</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九、我方理解，最低报价不是中标的唯一条件。</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十、我方同意按有关规定及竞争性磋商文件要求，缴纳足额投标保证金。</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十一、若我方中标，愿意按有关规定及竞争性磋商文件要求缴纳招标代理服务费。</w:t>
      </w:r>
    </w:p>
    <w:p>
      <w:pPr>
        <w:tabs>
          <w:tab w:val="left" w:pos="6300"/>
        </w:tabs>
        <w:snapToGrid w:val="0"/>
        <w:spacing w:line="500" w:lineRule="exact"/>
        <w:ind w:firstLine="570"/>
        <w:rPr>
          <w:rFonts w:ascii="方正仿宋_GBK" w:hAnsi="宋体" w:eastAsia="方正仿宋_GBK"/>
          <w:color w:val="auto"/>
          <w:sz w:val="24"/>
          <w:szCs w:val="28"/>
          <w:highlight w:val="none"/>
        </w:rPr>
      </w:pPr>
    </w:p>
    <w:p>
      <w:pPr>
        <w:tabs>
          <w:tab w:val="left" w:pos="6300"/>
        </w:tabs>
        <w:snapToGrid w:val="0"/>
        <w:spacing w:line="500" w:lineRule="exact"/>
        <w:ind w:firstLine="5460" w:firstLineChars="2275"/>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（供应商单位公章）</w:t>
      </w:r>
    </w:p>
    <w:p>
      <w:pPr>
        <w:tabs>
          <w:tab w:val="left" w:pos="6300"/>
        </w:tabs>
        <w:snapToGrid w:val="0"/>
        <w:spacing w:line="500" w:lineRule="exact"/>
        <w:ind w:firstLine="570"/>
        <w:rPr>
          <w:rFonts w:ascii="方正仿宋_GBK" w:hAnsi="宋体" w:eastAsia="方正仿宋_GBK"/>
          <w:color w:val="auto"/>
          <w:sz w:val="24"/>
          <w:szCs w:val="28"/>
          <w:highlight w:val="none"/>
        </w:rPr>
      </w:pPr>
    </w:p>
    <w:p>
      <w:pPr>
        <w:tabs>
          <w:tab w:val="left" w:pos="6300"/>
        </w:tabs>
        <w:snapToGrid w:val="0"/>
        <w:spacing w:line="500" w:lineRule="exact"/>
        <w:ind w:firstLine="5760" w:firstLineChars="2400"/>
        <w:rPr>
          <w:rFonts w:ascii="方正仿宋_GBK" w:hAnsi="宋体" w:eastAsia="方正仿宋_GBK"/>
          <w:color w:val="auto"/>
          <w:szCs w:val="28"/>
          <w:highlight w:val="none"/>
        </w:rPr>
      </w:pPr>
      <w:r>
        <w:rPr>
          <w:rFonts w:hint="eastAsia" w:ascii="方正仿宋_GBK" w:hAnsi="宋体" w:eastAsia="方正仿宋_GBK"/>
          <w:color w:val="auto"/>
          <w:sz w:val="24"/>
          <w:szCs w:val="28"/>
          <w:highlight w:val="none"/>
        </w:rPr>
        <w:t>年    月   日</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（二）商务条款差异表</w:t>
      </w:r>
    </w:p>
    <w:p>
      <w:pPr>
        <w:pStyle w:val="34"/>
        <w:tabs>
          <w:tab w:val="left" w:pos="6300"/>
        </w:tabs>
        <w:snapToGrid w:val="0"/>
        <w:spacing w:line="500" w:lineRule="exact"/>
        <w:ind w:firstLine="480" w:firstLineChars="200"/>
        <w:jc w:val="center"/>
        <w:outlineLvl w:val="0"/>
        <w:rPr>
          <w:rFonts w:ascii="方正仿宋_GBK" w:hAnsi="宋体" w:eastAsia="方正仿宋_GBK"/>
          <w:color w:val="auto"/>
          <w:sz w:val="24"/>
          <w:szCs w:val="28"/>
          <w:highlight w:val="none"/>
        </w:rPr>
      </w:pPr>
      <w:r>
        <w:rPr>
          <w:rFonts w:hint="eastAsia" w:ascii="方正仿宋_GBK" w:hAnsi="宋体" w:eastAsia="方正仿宋_GBK"/>
          <w:color w:val="auto"/>
          <w:sz w:val="24"/>
          <w:szCs w:val="24"/>
          <w:highlight w:val="none"/>
        </w:rPr>
        <w:t>商务条款差异表</w:t>
      </w:r>
    </w:p>
    <w:p>
      <w:pPr>
        <w:pStyle w:val="34"/>
        <w:tabs>
          <w:tab w:val="left" w:pos="6300"/>
        </w:tabs>
        <w:snapToGrid w:val="0"/>
        <w:spacing w:line="500" w:lineRule="exact"/>
        <w:ind w:firstLine="480" w:firstLineChars="200"/>
        <w:outlineLvl w:val="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招标项目名称</w:t>
      </w:r>
      <w:r>
        <w:rPr>
          <w:rFonts w:hint="eastAsia" w:ascii="方正仿宋_GBK" w:hAnsi="宋体" w:eastAsia="方正仿宋_GBK"/>
          <w:color w:val="auto"/>
          <w:sz w:val="24"/>
          <w:highlight w:val="none"/>
        </w:rPr>
        <w:t>：</w:t>
      </w:r>
    </w:p>
    <w:tbl>
      <w:tblPr>
        <w:tblStyle w:val="65"/>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序号</w:t>
            </w: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招标商务要求</w:t>
            </w: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供应商务应答</w:t>
            </w: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bl>
    <w:p>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                                  法定代表人授权代表：</w:t>
      </w:r>
    </w:p>
    <w:p>
      <w:pPr>
        <w:spacing w:line="500" w:lineRule="exact"/>
        <w:rPr>
          <w:rFonts w:ascii="方正仿宋_GBK" w:hAnsi="宋体" w:eastAsia="方正仿宋_GBK"/>
          <w:color w:val="auto"/>
          <w:sz w:val="24"/>
          <w:szCs w:val="28"/>
          <w:highlight w:val="none"/>
        </w:rPr>
      </w:pPr>
    </w:p>
    <w:p>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（供应商单位公章）                               （签字或盖章）</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360" w:lineRule="exact"/>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1、本表即为对本项目“第三篇 项目商务要求”中所列商务条款进行比较和响应；</w:t>
      </w:r>
    </w:p>
    <w:p>
      <w:pPr>
        <w:tabs>
          <w:tab w:val="left" w:pos="6300"/>
        </w:tabs>
        <w:snapToGrid w:val="0"/>
        <w:spacing w:line="360" w:lineRule="exact"/>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2、该表必须按照招标文件要求逐条如实填写，根据投标情况在“差异说明”项填写正偏离或负偏离及原因，完全符合的填写“无差异”。</w:t>
      </w:r>
    </w:p>
    <w:p>
      <w:pPr>
        <w:snapToGrid w:val="0"/>
        <w:spacing w:line="36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3、该表可扩展。</w:t>
      </w: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（三）商务部分（包括但不限于）</w:t>
      </w:r>
    </w:p>
    <w:p>
      <w:pPr>
        <w:spacing w:line="240" w:lineRule="atLeas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1）供应商业绩</w:t>
      </w:r>
    </w:p>
    <w:p>
      <w:pPr>
        <w:pStyle w:val="2"/>
        <w:spacing w:before="0" w:after="0"/>
        <w:ind w:left="0" w:firstLine="0"/>
        <w:jc w:val="center"/>
        <w:rPr>
          <w:color w:val="auto"/>
          <w:highlight w:val="none"/>
        </w:rPr>
      </w:pPr>
      <w:bookmarkStart w:id="115" w:name="_Toc224103516"/>
      <w:bookmarkStart w:id="116" w:name="_Toc287607889"/>
      <w:bookmarkStart w:id="117" w:name="_Toc370906521"/>
      <w:bookmarkStart w:id="118" w:name="_Toc277082661"/>
      <w:r>
        <w:rPr>
          <w:rFonts w:hint="eastAsia" w:ascii="仿宋" w:hAnsi="仿宋" w:eastAsia="仿宋" w:cs="仿宋"/>
          <w:color w:val="auto"/>
          <w:sz w:val="24"/>
          <w:szCs w:val="24"/>
          <w:highlight w:val="none"/>
        </w:rPr>
        <w:t>业绩情况表</w:t>
      </w:r>
      <w:bookmarkEnd w:id="115"/>
      <w:bookmarkEnd w:id="116"/>
      <w:bookmarkEnd w:id="117"/>
      <w:bookmarkEnd w:id="118"/>
    </w:p>
    <w:tbl>
      <w:tblPr>
        <w:tblStyle w:val="65"/>
        <w:tblW w:w="9321" w:type="dxa"/>
        <w:tblInd w:w="112" w:type="dxa"/>
        <w:tblLayout w:type="fixed"/>
        <w:tblCellMar>
          <w:top w:w="0" w:type="dxa"/>
          <w:left w:w="0" w:type="dxa"/>
          <w:bottom w:w="0" w:type="dxa"/>
          <w:right w:w="0" w:type="dxa"/>
        </w:tblCellMar>
      </w:tblPr>
      <w:tblGrid>
        <w:gridCol w:w="1333"/>
        <w:gridCol w:w="7988"/>
      </w:tblGrid>
      <w:tr>
        <w:tblPrEx>
          <w:tblLayout w:type="fixed"/>
          <w:tblCellMar>
            <w:top w:w="0" w:type="dxa"/>
            <w:left w:w="0" w:type="dxa"/>
            <w:bottom w:w="0" w:type="dxa"/>
            <w:right w:w="0" w:type="dxa"/>
          </w:tblCellMar>
        </w:tblPrEx>
        <w:trPr>
          <w:trHeight w:val="603"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17"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项目所在地</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24"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发包人名称</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18"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发包人地址</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25"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发包人电话</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20"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合同价格</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14"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开工日期</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37"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竣工日期</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723"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工程质量</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25"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项目经理</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18"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技术负责人</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1020"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总监理工程师及电话</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851"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备注</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bl>
    <w:p>
      <w:pPr>
        <w:spacing w:line="240" w:lineRule="atLeast"/>
        <w:jc w:val="cente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pict>
          <v:line id="_x0000_s1027" o:spid="_x0000_s1027" o:spt="20" style="position:absolute;left:0pt;margin-left:0pt;margin-top:17.7pt;height:0pt;width:225.75pt;z-index:251658240;mso-width-relative:page;mso-height-relative:page;" coordsize="21600,21600">
            <v:path arrowok="t"/>
            <v:fill focussize="0,0"/>
            <v:stroke weight="0.25pt"/>
            <v:imagedata o:title=""/>
            <o:lock v:ext="edit"/>
          </v:line>
        </w:pict>
      </w:r>
    </w:p>
    <w:p>
      <w:pPr>
        <w:spacing w:line="240" w:lineRule="atLeast"/>
        <w:jc w:val="center"/>
        <w:rPr>
          <w:rFonts w:ascii="宋体" w:hAnsi="宋体"/>
          <w:color w:val="auto"/>
          <w:highlight w:val="none"/>
        </w:rPr>
      </w:pPr>
      <w:r>
        <w:rPr>
          <w:rFonts w:hint="eastAsia" w:ascii="方正仿宋_GBK" w:hAnsi="宋体" w:eastAsia="方正仿宋_GBK"/>
          <w:color w:val="auto"/>
          <w:sz w:val="24"/>
          <w:szCs w:val="24"/>
          <w:highlight w:val="none"/>
        </w:rPr>
        <w:t>注：每一张表格填一个项目业绩，表格后附合同和相应资料（按第四篇要求提供）。</w:t>
      </w:r>
    </w:p>
    <w:p>
      <w:pPr>
        <w:spacing w:line="240" w:lineRule="atLeas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2）供应商认证管理体系及获奖情况</w:t>
      </w:r>
    </w:p>
    <w:p>
      <w:pPr>
        <w:spacing w:line="240" w:lineRule="atLeas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3）人员要求</w:t>
      </w:r>
    </w:p>
    <w:p>
      <w:pPr>
        <w:snapToGrid w:val="0"/>
        <w:spacing w:line="360" w:lineRule="auto"/>
        <w:rPr>
          <w:color w:val="auto"/>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（四）其它优惠承诺</w:t>
      </w:r>
      <w:r>
        <w:rPr>
          <w:rFonts w:hint="eastAsia" w:ascii="方正仿宋_GBK" w:hAnsi="宋体" w:eastAsia="方正仿宋_GBK"/>
          <w:bCs/>
          <w:color w:val="auto"/>
          <w:sz w:val="24"/>
          <w:szCs w:val="24"/>
          <w:highlight w:val="none"/>
        </w:rPr>
        <w:t>（格式自拟）</w:t>
      </w:r>
    </w:p>
    <w:p>
      <w:pPr>
        <w:snapToGrid w:val="0"/>
        <w:spacing w:line="360" w:lineRule="auto"/>
        <w:rPr>
          <w:color w:val="auto"/>
          <w:highlight w:val="none"/>
        </w:rPr>
      </w:pPr>
      <w:r>
        <w:rPr>
          <w:rFonts w:hint="eastAsia" w:ascii="方正仿宋_GBK" w:hAnsi="宋体" w:eastAsia="方正仿宋_GBK"/>
          <w:color w:val="auto"/>
          <w:sz w:val="24"/>
          <w:szCs w:val="24"/>
          <w:highlight w:val="none"/>
        </w:rPr>
        <w:t xml:space="preserve">（五）营业执照（副本）或事业单位法人证书（副本）复印件并加盖供应商单位公章 </w:t>
      </w:r>
    </w:p>
    <w:p>
      <w:pPr>
        <w:snapToGrid w:val="0"/>
        <w:spacing w:line="360"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（六）组织机构代码证复印件并加盖供应商单位公章</w:t>
      </w:r>
    </w:p>
    <w:p>
      <w:pPr>
        <w:snapToGrid w:val="0"/>
        <w:spacing w:line="360"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注：供应商按“三证合一”登记制度办理营业执照的，组织机构代码证和税务登记证以供应商所提供的法人营业执照（副本）复印件加盖供应商单位公章为准。</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（七）法定代表人身份证明书（格式）</w:t>
      </w:r>
    </w:p>
    <w:p>
      <w:pPr>
        <w:tabs>
          <w:tab w:val="left" w:pos="6300"/>
        </w:tabs>
        <w:snapToGrid w:val="0"/>
        <w:spacing w:line="360" w:lineRule="auto"/>
        <w:jc w:val="center"/>
        <w:rPr>
          <w:rFonts w:ascii="方正仿宋_GBK" w:hAnsi="宋体" w:eastAsia="方正仿宋_GBK"/>
          <w:b/>
          <w:bCs/>
          <w:color w:val="auto"/>
          <w:sz w:val="24"/>
          <w:szCs w:val="24"/>
          <w:highlight w:val="none"/>
        </w:rPr>
      </w:pPr>
    </w:p>
    <w:p>
      <w:pPr>
        <w:tabs>
          <w:tab w:val="left" w:pos="6300"/>
        </w:tabs>
        <w:snapToGrid w:val="0"/>
        <w:spacing w:line="360" w:lineRule="auto"/>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法定代表人身份证明书</w:t>
      </w:r>
    </w:p>
    <w:p>
      <w:pPr>
        <w:tabs>
          <w:tab w:val="left" w:pos="6300"/>
        </w:tabs>
        <w:snapToGrid w:val="0"/>
        <w:spacing w:line="360" w:lineRule="auto"/>
        <w:ind w:firstLine="74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（法定代表人姓名）在</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（供应商名称）任</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（职务名称）职务，是__________________（供应商名称）的法定代表人。</w:t>
      </w:r>
    </w:p>
    <w:p>
      <w:pPr>
        <w:tabs>
          <w:tab w:val="left" w:pos="6300"/>
        </w:tabs>
        <w:snapToGrid w:val="0"/>
        <w:spacing w:line="500" w:lineRule="atLeast"/>
        <w:ind w:firstLine="573"/>
        <w:rPr>
          <w:rFonts w:ascii="方正仿宋_GBK" w:hAnsi="宋体" w:eastAsia="方正仿宋_GBK"/>
          <w:color w:val="auto"/>
          <w:sz w:val="24"/>
          <w:szCs w:val="24"/>
          <w:highlight w:val="none"/>
        </w:rPr>
      </w:pPr>
    </w:p>
    <w:p>
      <w:pPr>
        <w:tabs>
          <w:tab w:val="left" w:pos="6300"/>
        </w:tabs>
        <w:snapToGrid w:val="0"/>
        <w:spacing w:line="500" w:lineRule="atLeast"/>
        <w:ind w:firstLine="573"/>
        <w:outlineLvl w:val="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特此证明。</w:t>
      </w:r>
    </w:p>
    <w:p>
      <w:pPr>
        <w:tabs>
          <w:tab w:val="left" w:pos="6300"/>
        </w:tabs>
        <w:snapToGrid w:val="0"/>
        <w:spacing w:line="400" w:lineRule="atLeast"/>
        <w:rPr>
          <w:rFonts w:ascii="方正仿宋_GBK" w:hAnsi="宋体" w:eastAsia="方正仿宋_GBK"/>
          <w:color w:val="auto"/>
          <w:sz w:val="24"/>
          <w:szCs w:val="24"/>
          <w:highlight w:val="none"/>
        </w:rPr>
      </w:pPr>
    </w:p>
    <w:p>
      <w:pPr>
        <w:tabs>
          <w:tab w:val="left" w:pos="6300"/>
        </w:tabs>
        <w:snapToGrid w:val="0"/>
        <w:spacing w:line="400" w:lineRule="atLeast"/>
        <w:rPr>
          <w:rFonts w:ascii="方正仿宋_GBK" w:hAnsi="宋体" w:eastAsia="方正仿宋_GBK"/>
          <w:color w:val="auto"/>
          <w:sz w:val="24"/>
          <w:szCs w:val="24"/>
          <w:highlight w:val="none"/>
        </w:rPr>
      </w:pPr>
    </w:p>
    <w:p>
      <w:pPr>
        <w:tabs>
          <w:tab w:val="left" w:pos="6300"/>
        </w:tabs>
        <w:snapToGrid w:val="0"/>
        <w:spacing w:line="400" w:lineRule="atLeast"/>
        <w:rPr>
          <w:rFonts w:ascii="方正仿宋_GBK" w:hAnsi="宋体" w:eastAsia="方正仿宋_GBK"/>
          <w:color w:val="auto"/>
          <w:sz w:val="24"/>
          <w:szCs w:val="24"/>
          <w:highlight w:val="none"/>
        </w:rPr>
      </w:pPr>
    </w:p>
    <w:p>
      <w:pPr>
        <w:tabs>
          <w:tab w:val="left" w:pos="6300"/>
        </w:tabs>
        <w:snapToGrid w:val="0"/>
        <w:spacing w:line="400" w:lineRule="atLeast"/>
        <w:rPr>
          <w:rFonts w:ascii="方正仿宋_GBK" w:hAnsi="宋体" w:eastAsia="方正仿宋_GBK"/>
          <w:color w:val="auto"/>
          <w:sz w:val="24"/>
          <w:szCs w:val="24"/>
          <w:highlight w:val="none"/>
        </w:rPr>
      </w:pPr>
    </w:p>
    <w:p>
      <w:pPr>
        <w:tabs>
          <w:tab w:val="left" w:pos="6300"/>
        </w:tabs>
        <w:snapToGrid w:val="0"/>
        <w:spacing w:line="400" w:lineRule="atLeast"/>
        <w:rPr>
          <w:rFonts w:ascii="方正仿宋_GBK" w:hAnsi="宋体" w:eastAsia="方正仿宋_GBK"/>
          <w:color w:val="auto"/>
          <w:sz w:val="24"/>
          <w:szCs w:val="24"/>
          <w:highlight w:val="none"/>
        </w:rPr>
      </w:pPr>
    </w:p>
    <w:p>
      <w:pPr>
        <w:tabs>
          <w:tab w:val="left" w:pos="6300"/>
        </w:tabs>
        <w:snapToGrid w:val="0"/>
        <w:spacing w:line="400" w:lineRule="atLeast"/>
        <w:outlineLvl w:val="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（供应商全称）</w:t>
      </w:r>
    </w:p>
    <w:p>
      <w:pPr>
        <w:tabs>
          <w:tab w:val="left" w:pos="6300"/>
        </w:tabs>
        <w:snapToGrid w:val="0"/>
        <w:spacing w:line="4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pPr>
        <w:tabs>
          <w:tab w:val="left" w:pos="6300"/>
        </w:tabs>
        <w:snapToGrid w:val="0"/>
        <w:spacing w:line="4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（加盖供应商单位公章）</w:t>
      </w:r>
    </w:p>
    <w:p>
      <w:pPr>
        <w:tabs>
          <w:tab w:val="left" w:pos="6300"/>
        </w:tabs>
        <w:snapToGrid w:val="0"/>
        <w:spacing w:line="400" w:lineRule="atLeast"/>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（附：法定代表人身份证正反面复印件）</w:t>
      </w:r>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注：法定代表人身份证明书应单独再准备一份，在磋商会现场核验身份时提供，须加盖供应商单位公章。</w:t>
      </w: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（八）法定代表人授权委托书（格式）</w:t>
      </w:r>
    </w:p>
    <w:p>
      <w:pPr>
        <w:snapToGrid w:val="0"/>
        <w:spacing w:line="380" w:lineRule="exact"/>
        <w:jc w:val="center"/>
        <w:rPr>
          <w:rFonts w:ascii="宋体" w:hAnsi="宋体"/>
          <w:b/>
          <w:bCs/>
          <w:color w:val="auto"/>
          <w:sz w:val="24"/>
          <w:szCs w:val="24"/>
          <w:highlight w:val="none"/>
        </w:rPr>
      </w:pPr>
    </w:p>
    <w:p>
      <w:pPr>
        <w:snapToGrid w:val="0"/>
        <w:spacing w:line="3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法定代表人授权委托书</w:t>
      </w:r>
    </w:p>
    <w:p>
      <w:pPr>
        <w:tabs>
          <w:tab w:val="left" w:pos="6300"/>
        </w:tabs>
        <w:snapToGrid w:val="0"/>
        <w:spacing w:line="6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项目名称：_______________</w:t>
      </w:r>
    </w:p>
    <w:p>
      <w:pPr>
        <w:tabs>
          <w:tab w:val="left" w:pos="6300"/>
        </w:tabs>
        <w:snapToGrid w:val="0"/>
        <w:spacing w:line="6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日    期：_______________</w:t>
      </w:r>
    </w:p>
    <w:p>
      <w:pPr>
        <w:pStyle w:val="39"/>
        <w:pBdr>
          <w:bottom w:val="none" w:color="auto" w:sz="0" w:space="0"/>
        </w:pBdr>
        <w:jc w:val="both"/>
        <w:rPr>
          <w:color w:val="auto"/>
          <w:highlight w:val="none"/>
          <w:u w:val="single"/>
        </w:rPr>
      </w:pPr>
      <w:r>
        <w:rPr>
          <w:rFonts w:hint="eastAsia" w:ascii="方正仿宋_GBK" w:hAnsi="宋体" w:eastAsia="方正仿宋_GBK"/>
          <w:color w:val="auto"/>
          <w:sz w:val="24"/>
          <w:szCs w:val="24"/>
          <w:highlight w:val="none"/>
        </w:rPr>
        <w:t>致：四川外国语大学招投标采购办公室</w:t>
      </w:r>
    </w:p>
    <w:p>
      <w:pPr>
        <w:tabs>
          <w:tab w:val="left" w:pos="6300"/>
        </w:tabs>
        <w:snapToGrid w:val="0"/>
        <w:spacing w:line="600" w:lineRule="atLeast"/>
        <w:rPr>
          <w:rFonts w:ascii="方正仿宋_GBK" w:hAnsi="宋体" w:eastAsia="方正仿宋_GBK"/>
          <w:color w:val="auto"/>
          <w:sz w:val="24"/>
          <w:szCs w:val="24"/>
          <w:highlight w:val="none"/>
        </w:rPr>
      </w:pPr>
    </w:p>
    <w:p>
      <w:pPr>
        <w:tabs>
          <w:tab w:val="left" w:pos="6300"/>
        </w:tabs>
        <w:snapToGrid w:val="0"/>
        <w:spacing w:line="600" w:lineRule="atLeas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_____________________（供应商名称）是中华人民共和国合法企业，法定地址______________________________。</w:t>
      </w:r>
    </w:p>
    <w:p>
      <w:pPr>
        <w:tabs>
          <w:tab w:val="left" w:pos="6300"/>
        </w:tabs>
        <w:snapToGrid w:val="0"/>
        <w:spacing w:line="600" w:lineRule="atLeast"/>
        <w:ind w:firstLine="55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600" w:lineRule="atLeast"/>
        <w:ind w:firstLine="55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我单位对被授权人的签名负全部责任。</w:t>
      </w:r>
    </w:p>
    <w:p>
      <w:pPr>
        <w:tabs>
          <w:tab w:val="left" w:pos="6300"/>
        </w:tabs>
        <w:snapToGrid w:val="0"/>
        <w:spacing w:line="600" w:lineRule="atLeast"/>
        <w:ind w:firstLine="55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ascii="方正仿宋_GBK" w:hAnsi="宋体" w:eastAsia="方正仿宋_GBK"/>
          <w:color w:val="auto"/>
          <w:sz w:val="24"/>
          <w:szCs w:val="24"/>
          <w:highlight w:val="none"/>
        </w:rPr>
      </w:pPr>
    </w:p>
    <w:p>
      <w:pPr>
        <w:tabs>
          <w:tab w:val="left" w:pos="6300"/>
        </w:tabs>
        <w:snapToGrid w:val="0"/>
        <w:spacing w:line="6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被授权人签名：                    法定代表人签名：</w:t>
      </w:r>
    </w:p>
    <w:p>
      <w:pPr>
        <w:tabs>
          <w:tab w:val="left" w:pos="6300"/>
        </w:tabs>
        <w:snapToGrid w:val="0"/>
        <w:spacing w:line="6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职  务：                            职  务：</w:t>
      </w:r>
    </w:p>
    <w:p>
      <w:pPr>
        <w:tabs>
          <w:tab w:val="left" w:pos="6300"/>
        </w:tabs>
        <w:snapToGrid w:val="0"/>
        <w:spacing w:line="600" w:lineRule="atLeast"/>
        <w:rPr>
          <w:rFonts w:ascii="方正仿宋_GBK" w:hAnsi="宋体" w:eastAsia="方正仿宋_GBK"/>
          <w:color w:val="auto"/>
          <w:sz w:val="24"/>
          <w:szCs w:val="24"/>
          <w:highlight w:val="none"/>
        </w:rPr>
      </w:pPr>
    </w:p>
    <w:p>
      <w:pPr>
        <w:snapToGrid w:val="0"/>
        <w:spacing w:line="360"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pPr>
        <w:snapToGrid w:val="0"/>
        <w:spacing w:line="360" w:lineRule="auto"/>
        <w:ind w:firstLine="3600" w:firstLineChars="15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供应商单位公章：</w:t>
      </w:r>
    </w:p>
    <w:p>
      <w:pPr>
        <w:snapToGrid w:val="0"/>
        <w:spacing w:line="360" w:lineRule="auto"/>
        <w:rPr>
          <w:rFonts w:ascii="方正仿宋_GBK" w:hAnsi="宋体" w:eastAsia="方正仿宋_GBK"/>
          <w:color w:val="auto"/>
          <w:sz w:val="24"/>
          <w:szCs w:val="24"/>
          <w:highlight w:val="none"/>
        </w:rPr>
      </w:pPr>
    </w:p>
    <w:p>
      <w:pPr>
        <w:snapToGrid w:val="0"/>
        <w:spacing w:line="360"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（附：被授权人身份证正反面复印件）</w:t>
      </w:r>
    </w:p>
    <w:p>
      <w:pPr>
        <w:snapToGrid w:val="0"/>
        <w:spacing w:line="380" w:lineRule="exact"/>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注：法定代表人授权委托书应单独再准备一份，在磋商会现场核验身份时提供，须加盖供应商单位公章及被授权人签名。</w:t>
      </w: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（九）201</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年度财务状况报告（表）复印件并加盖供应商单位公章，本年度新成立的公司提供投标截止时间前一个月的财务状况报告（表）复印件并加盖供应商单位公章。（可用诚信声明代替，诚信声明格式自拟）</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（十）书面声明（格式）</w:t>
      </w:r>
    </w:p>
    <w:p>
      <w:pPr>
        <w:tabs>
          <w:tab w:val="left" w:pos="6300"/>
        </w:tabs>
        <w:snapToGrid w:val="0"/>
        <w:spacing w:line="380" w:lineRule="exact"/>
        <w:ind w:firstLine="482" w:firstLineChars="200"/>
        <w:jc w:val="center"/>
        <w:rPr>
          <w:rFonts w:ascii="宋体" w:hAnsi="宋体"/>
          <w:b/>
          <w:bCs/>
          <w:color w:val="auto"/>
          <w:sz w:val="24"/>
          <w:szCs w:val="24"/>
          <w:highlight w:val="none"/>
        </w:rPr>
      </w:pPr>
    </w:p>
    <w:p>
      <w:pPr>
        <w:tabs>
          <w:tab w:val="left" w:pos="6300"/>
        </w:tabs>
        <w:snapToGrid w:val="0"/>
        <w:spacing w:line="380" w:lineRule="exact"/>
        <w:ind w:firstLine="482" w:firstLineChars="200"/>
        <w:jc w:val="center"/>
        <w:rPr>
          <w:rFonts w:ascii="宋体" w:hAnsi="宋体"/>
          <w:b/>
          <w:bCs/>
          <w:color w:val="auto"/>
          <w:sz w:val="24"/>
          <w:szCs w:val="24"/>
          <w:highlight w:val="none"/>
        </w:rPr>
      </w:pPr>
      <w:bookmarkStart w:id="119" w:name="_Toc27129_WPSOffice_Level1"/>
      <w:r>
        <w:rPr>
          <w:rFonts w:hint="eastAsia" w:ascii="宋体" w:hAnsi="宋体"/>
          <w:b/>
          <w:bCs/>
          <w:color w:val="auto"/>
          <w:sz w:val="24"/>
          <w:szCs w:val="24"/>
          <w:highlight w:val="none"/>
        </w:rPr>
        <w:t>书面声明</w:t>
      </w:r>
      <w:bookmarkEnd w:id="119"/>
    </w:p>
    <w:p>
      <w:pPr>
        <w:tabs>
          <w:tab w:val="left" w:pos="6300"/>
        </w:tabs>
        <w:snapToGrid w:val="0"/>
        <w:spacing w:line="380" w:lineRule="exact"/>
        <w:ind w:firstLine="480" w:firstLineChars="200"/>
        <w:rPr>
          <w:rFonts w:ascii="宋体" w:hAnsi="宋体"/>
          <w:i/>
          <w:iCs/>
          <w:color w:val="auto"/>
          <w:sz w:val="24"/>
          <w:szCs w:val="24"/>
          <w:highlight w:val="none"/>
          <w:u w:val="single"/>
        </w:rPr>
      </w:pPr>
      <w:r>
        <w:rPr>
          <w:rFonts w:hint="eastAsia" w:ascii="宋体" w:hAnsi="宋体"/>
          <w:color w:val="auto"/>
          <w:sz w:val="24"/>
          <w:szCs w:val="24"/>
          <w:highlight w:val="none"/>
        </w:rPr>
        <w:t>项目名称：</w:t>
      </w:r>
      <w:r>
        <w:rPr>
          <w:rFonts w:hint="eastAsia" w:ascii="宋体" w:hAnsi="宋体"/>
          <w:i/>
          <w:iCs/>
          <w:color w:val="auto"/>
          <w:sz w:val="24"/>
          <w:szCs w:val="24"/>
          <w:highlight w:val="none"/>
          <w:u w:val="single"/>
        </w:rPr>
        <w:t xml:space="preserve">                        </w:t>
      </w:r>
    </w:p>
    <w:p>
      <w:pPr>
        <w:tabs>
          <w:tab w:val="left" w:pos="6300"/>
        </w:tabs>
        <w:snapToGrid w:val="0"/>
        <w:spacing w:line="3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致：四川外国语大学招投标采购办公室</w:t>
      </w:r>
    </w:p>
    <w:p>
      <w:pPr>
        <w:tabs>
          <w:tab w:val="left" w:pos="6300"/>
        </w:tabs>
        <w:snapToGrid w:val="0"/>
        <w:spacing w:line="360" w:lineRule="auto"/>
        <w:ind w:firstLine="480" w:firstLineChars="200"/>
        <w:rPr>
          <w:rFonts w:ascii="仿宋" w:hAnsi="仿宋" w:eastAsia="仿宋"/>
          <w:color w:val="auto"/>
          <w:sz w:val="24"/>
          <w:highlight w:val="none"/>
        </w:rPr>
      </w:pPr>
      <w:r>
        <w:rPr>
          <w:rFonts w:hint="eastAsia" w:ascii="宋体" w:hAnsi="宋体"/>
          <w:color w:val="auto"/>
          <w:sz w:val="24"/>
          <w:szCs w:val="24"/>
          <w:highlight w:val="none"/>
          <w:u w:val="single"/>
        </w:rPr>
        <w:t xml:space="preserve">    （ 供应商单位名称）    </w:t>
      </w:r>
      <w:r>
        <w:rPr>
          <w:rFonts w:hint="eastAsia" w:ascii="宋体" w:hAnsi="宋体"/>
          <w:color w:val="auto"/>
          <w:sz w:val="24"/>
          <w:szCs w:val="24"/>
          <w:highlight w:val="none"/>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 “政府采购严重违法失信名单”中，，并随时接受甲方、采购代理机构的检查验证，符合《政府采购法》规定的供应商资格条件。我方对以上声明负全部法律责任。</w:t>
      </w:r>
    </w:p>
    <w:p>
      <w:pPr>
        <w:tabs>
          <w:tab w:val="left" w:pos="6300"/>
        </w:tabs>
        <w:snapToGrid w:val="0"/>
        <w:spacing w:line="360" w:lineRule="auto"/>
        <w:ind w:firstLine="480" w:firstLineChars="200"/>
        <w:rPr>
          <w:rFonts w:ascii="宋体" w:hAnsi="宋体"/>
          <w:color w:val="auto"/>
          <w:sz w:val="24"/>
          <w:szCs w:val="24"/>
          <w:highlight w:val="none"/>
        </w:rPr>
      </w:pP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特此声明。</w:t>
      </w:r>
    </w:p>
    <w:p>
      <w:pPr>
        <w:tabs>
          <w:tab w:val="left" w:pos="6300"/>
        </w:tabs>
        <w:snapToGrid w:val="0"/>
        <w:spacing w:line="360" w:lineRule="auto"/>
        <w:ind w:firstLine="480" w:firstLineChars="200"/>
        <w:rPr>
          <w:rFonts w:ascii="宋体" w:hAnsi="宋体"/>
          <w:color w:val="auto"/>
          <w:sz w:val="24"/>
          <w:szCs w:val="24"/>
          <w:highlight w:val="none"/>
        </w:rPr>
      </w:pPr>
    </w:p>
    <w:p>
      <w:pPr>
        <w:tabs>
          <w:tab w:val="left" w:pos="6300"/>
        </w:tabs>
        <w:snapToGrid w:val="0"/>
        <w:spacing w:line="360" w:lineRule="auto"/>
        <w:ind w:firstLine="480" w:firstLineChars="200"/>
        <w:rPr>
          <w:rFonts w:ascii="宋体" w:hAnsi="宋体"/>
          <w:color w:val="auto"/>
          <w:sz w:val="24"/>
          <w:szCs w:val="24"/>
          <w:highlight w:val="none"/>
        </w:rPr>
      </w:pPr>
    </w:p>
    <w:p>
      <w:pPr>
        <w:tabs>
          <w:tab w:val="left" w:pos="6300"/>
        </w:tabs>
        <w:snapToGrid w:val="0"/>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（供应商单位公章）</w:t>
      </w:r>
    </w:p>
    <w:p>
      <w:pPr>
        <w:tabs>
          <w:tab w:val="left" w:pos="6300"/>
        </w:tabs>
        <w:snapToGrid w:val="0"/>
        <w:spacing w:line="380" w:lineRule="exact"/>
        <w:ind w:right="480" w:firstLine="570"/>
        <w:jc w:val="right"/>
        <w:rPr>
          <w:rFonts w:ascii="宋体" w:hAnsi="宋体"/>
          <w:color w:val="auto"/>
          <w:sz w:val="24"/>
          <w:szCs w:val="24"/>
          <w:highlight w:val="none"/>
        </w:rPr>
      </w:pPr>
      <w:r>
        <w:rPr>
          <w:rFonts w:hint="eastAsia" w:ascii="宋体" w:hAnsi="宋体"/>
          <w:color w:val="auto"/>
          <w:sz w:val="24"/>
          <w:szCs w:val="24"/>
          <w:highlight w:val="none"/>
        </w:rPr>
        <w:t>年 月 日</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bookmarkStart w:id="120" w:name="_Toc21564_WPSOffice_Level1"/>
      <w:r>
        <w:rPr>
          <w:rFonts w:hint="eastAsia" w:ascii="方正仿宋_GBK" w:hAnsi="宋体" w:eastAsia="方正仿宋_GBK"/>
          <w:color w:val="auto"/>
          <w:sz w:val="24"/>
          <w:szCs w:val="24"/>
          <w:highlight w:val="none"/>
        </w:rPr>
        <w:t>（十一）税务登记证（副本）复印件和社会保险缴纳证明材料并加盖供应商单位公章</w:t>
      </w:r>
      <w:bookmarkEnd w:id="120"/>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napToGrid w:val="0"/>
        <w:spacing w:line="440" w:lineRule="exact"/>
        <w:ind w:firstLine="240" w:firstLineChars="1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bookmarkStart w:id="121" w:name="_Toc11628_WPSOffice_Level1"/>
      <w:r>
        <w:rPr>
          <w:rFonts w:hint="eastAsia" w:ascii="方正仿宋_GBK" w:hAnsi="宋体" w:eastAsia="方正仿宋_GBK"/>
          <w:color w:val="auto"/>
          <w:sz w:val="24"/>
          <w:szCs w:val="24"/>
          <w:highlight w:val="none"/>
        </w:rPr>
        <w:t>（十二）供应商信用查询结果</w:t>
      </w:r>
      <w:bookmarkEnd w:id="121"/>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1.供应商须提供信用中国网站（www.creditchina.gov.cn）以下内容的查询结果网页打印件并加盖供应商单位公章。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1.1“失信被执行人”查询结果；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1.2“重大税收违法案件当事人名单”查询结果；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1.3“政府采购严重违法失信名单”的查询结果。</w:t>
      </w:r>
    </w:p>
    <w:p>
      <w:pPr>
        <w:snapToGrid w:val="0"/>
        <w:spacing w:line="440" w:lineRule="exact"/>
        <w:ind w:firstLine="480" w:firstLineChars="200"/>
        <w:rPr>
          <w:color w:val="auto"/>
          <w:highlight w:val="none"/>
        </w:rPr>
      </w:pPr>
      <w:r>
        <w:rPr>
          <w:rFonts w:hint="eastAsia" w:ascii="方正仿宋_GBK" w:hAnsi="宋体" w:eastAsia="方正仿宋_GBK"/>
          <w:color w:val="auto"/>
          <w:sz w:val="24"/>
          <w:szCs w:val="24"/>
          <w:highlight w:val="none"/>
        </w:rPr>
        <w:t>注：查询操作步骤见招标文件“第四篇  评标方法、评标标准、无效投标条款和废标条款”资格性检查中的注③</w:t>
      </w:r>
    </w:p>
    <w:p>
      <w:pPr>
        <w:snapToGrid w:val="0"/>
        <w:spacing w:line="440" w:lineRule="exact"/>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bookmarkStart w:id="122" w:name="_Toc32228_WPSOffice_Level1"/>
      <w:r>
        <w:rPr>
          <w:rFonts w:hint="eastAsia" w:ascii="方正仿宋_GBK" w:hAnsi="宋体" w:eastAsia="方正仿宋_GBK"/>
          <w:color w:val="auto"/>
          <w:sz w:val="24"/>
          <w:szCs w:val="24"/>
          <w:highlight w:val="none"/>
        </w:rPr>
        <w:t>（十三）特定资格条件证明文件（按招标文件第一篇第三条第（二）项要求提供）</w:t>
      </w:r>
      <w:bookmarkEnd w:id="122"/>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bookmarkStart w:id="123" w:name="_Toc19607_WPSOffice_Level1"/>
      <w:r>
        <w:rPr>
          <w:rFonts w:hint="eastAsia" w:ascii="方正仿宋_GBK" w:hAnsi="宋体" w:eastAsia="方正仿宋_GBK"/>
          <w:color w:val="auto"/>
          <w:sz w:val="24"/>
          <w:szCs w:val="24"/>
          <w:highlight w:val="none"/>
        </w:rPr>
        <w:t>（十四）其他资料</w:t>
      </w:r>
      <w:bookmarkEnd w:id="123"/>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1.保证金缴纳情况证明文件并加盖供应商单位公章。</w:t>
      </w:r>
    </w:p>
    <w:p>
      <w:pPr>
        <w:snapToGrid w:val="0"/>
        <w:spacing w:line="440" w:lineRule="exact"/>
        <w:ind w:firstLine="960" w:firstLineChars="400"/>
        <w:rPr>
          <w:rFonts w:ascii="方正仿宋_GBK" w:eastAsia="方正仿宋_GBK"/>
          <w:b/>
          <w:color w:val="auto"/>
          <w:sz w:val="24"/>
          <w:highlight w:val="none"/>
        </w:rPr>
      </w:pPr>
      <w:r>
        <w:rPr>
          <w:rFonts w:hint="eastAsia" w:ascii="方正仿宋_GBK" w:hAnsi="宋体" w:eastAsia="方正仿宋_GBK"/>
          <w:color w:val="auto"/>
          <w:sz w:val="24"/>
          <w:szCs w:val="24"/>
          <w:highlight w:val="none"/>
        </w:rPr>
        <w:t>2.其他与项目有关的资料并加盖供应商单位公章。</w:t>
      </w:r>
      <w:r>
        <w:rPr>
          <w:rFonts w:hint="eastAsia" w:ascii="方正仿宋_GBK" w:hAnsi="宋体" w:eastAsia="方正仿宋_GBK"/>
          <w:color w:val="auto"/>
          <w:highlight w:val="none"/>
        </w:rPr>
        <w:br w:type="page"/>
      </w:r>
      <w:bookmarkStart w:id="124" w:name="_Toc452024186"/>
      <w:bookmarkStart w:id="125" w:name="_Toc4556"/>
      <w:bookmarkStart w:id="126" w:name="_Toc429584887"/>
      <w:r>
        <w:rPr>
          <w:rFonts w:hint="eastAsia" w:ascii="方正仿宋_GBK" w:eastAsia="方正仿宋_GBK"/>
          <w:color w:val="auto"/>
          <w:highlight w:val="none"/>
        </w:rPr>
        <w:t>三、</w:t>
      </w:r>
      <w:bookmarkEnd w:id="124"/>
      <w:bookmarkEnd w:id="125"/>
      <w:bookmarkEnd w:id="126"/>
      <w:r>
        <w:rPr>
          <w:rFonts w:hint="eastAsia" w:ascii="方正仿宋_GBK" w:hAnsi="方正仿宋_GBK" w:eastAsia="方正仿宋_GBK"/>
          <w:b/>
          <w:color w:val="auto"/>
          <w:szCs w:val="28"/>
          <w:highlight w:val="none"/>
        </w:rPr>
        <w:t>监理大纲</w:t>
      </w:r>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格式自拟，按照竞争性磋商文件要求编制及装订。</w:t>
      </w:r>
    </w:p>
    <w:p>
      <w:pPr>
        <w:pStyle w:val="2"/>
        <w:ind w:left="0" w:firstLine="0"/>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pStyle w:val="2"/>
        <w:ind w:left="0" w:firstLine="0"/>
        <w:rPr>
          <w:color w:val="auto"/>
          <w:highlight w:val="none"/>
        </w:rPr>
      </w:pPr>
    </w:p>
    <w:p>
      <w:pPr>
        <w:pStyle w:val="2"/>
        <w:ind w:left="0" w:firstLine="0"/>
        <w:rPr>
          <w:rFonts w:eastAsia="方正仿宋_GBK"/>
          <w:color w:val="auto"/>
          <w:highlight w:val="none"/>
        </w:rPr>
      </w:pPr>
      <w:r>
        <w:rPr>
          <w:rFonts w:hint="eastAsia" w:eastAsia="方正仿宋_GBK"/>
          <w:color w:val="auto"/>
          <w:highlight w:val="none"/>
        </w:rPr>
        <w:t xml:space="preserve">               </w:t>
      </w:r>
    </w:p>
    <w:p>
      <w:pPr>
        <w:rPr>
          <w:rFonts w:eastAsia="方正仿宋_GBK"/>
          <w:color w:val="auto"/>
          <w:highlight w:val="none"/>
        </w:rPr>
      </w:pPr>
    </w:p>
    <w:p>
      <w:pPr>
        <w:pStyle w:val="2"/>
        <w:ind w:left="0" w:firstLine="0"/>
        <w:rPr>
          <w:rFonts w:eastAsia="方正仿宋_GBK"/>
          <w:color w:val="auto"/>
          <w:highlight w:val="none"/>
        </w:rPr>
      </w:pPr>
    </w:p>
    <w:p>
      <w:pPr>
        <w:rPr>
          <w:rFonts w:eastAsia="方正仿宋_GBK"/>
          <w:color w:val="auto"/>
          <w:highlight w:val="none"/>
        </w:rPr>
      </w:pPr>
    </w:p>
    <w:p>
      <w:pPr>
        <w:pStyle w:val="2"/>
        <w:ind w:left="0" w:firstLine="0"/>
        <w:jc w:val="center"/>
        <w:rPr>
          <w:b w:val="0"/>
          <w:bCs/>
          <w:color w:val="auto"/>
          <w:highlight w:val="none"/>
        </w:rPr>
      </w:pPr>
      <w:bookmarkStart w:id="127" w:name="_Toc25503_WPSOffice_Level1"/>
      <w:r>
        <w:rPr>
          <w:rFonts w:hint="eastAsia" w:eastAsia="方正仿宋_GBK"/>
          <w:b w:val="0"/>
          <w:bCs/>
          <w:color w:val="auto"/>
          <w:highlight w:val="none"/>
        </w:rPr>
        <w:t>（结束）</w:t>
      </w:r>
      <w:bookmarkEnd w:id="127"/>
    </w:p>
    <w:sectPr>
      <w:headerReference r:id="rId10" w:type="default"/>
      <w:footerReference r:id="rId11"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sz w:val="24"/>
      </w:rPr>
    </w:pPr>
    <w:r>
      <w:rPr>
        <w:sz w:val="24"/>
      </w:rPr>
      <w:fldChar w:fldCharType="begin"/>
    </w:r>
    <w:r>
      <w:rPr>
        <w:rStyle w:val="59"/>
        <w:sz w:val="24"/>
      </w:rPr>
      <w:instrText xml:space="preserve"> PAGE </w:instrText>
    </w:r>
    <w:r>
      <w:rPr>
        <w:sz w:val="24"/>
      </w:rPr>
      <w:fldChar w:fldCharType="separate"/>
    </w:r>
    <w:r>
      <w:rPr>
        <w:rStyle w:val="59"/>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9"/>
      </w:rPr>
    </w:pPr>
    <w:r>
      <w:fldChar w:fldCharType="begin"/>
    </w:r>
    <w:r>
      <w:rPr>
        <w:rStyle w:val="59"/>
      </w:rPr>
      <w:instrText xml:space="preserve">PAGE  </w:instrTex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7"/>
                  <w:ind w:right="360"/>
                  <w:jc w:val="center"/>
                </w:pPr>
                <w:r>
                  <w:fldChar w:fldCharType="begin"/>
                </w:r>
                <w:r>
                  <w:rPr>
                    <w:rStyle w:val="59"/>
                  </w:rPr>
                  <w:instrText xml:space="preserve"> PAGE </w:instrText>
                </w:r>
                <w:r>
                  <w:fldChar w:fldCharType="separate"/>
                </w:r>
                <w:r>
                  <w:rPr>
                    <w:rStyle w:val="59"/>
                  </w:rPr>
                  <w:t>- 23 -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sz w:val="24"/>
      </w:rPr>
    </w:pPr>
    <w:r>
      <w:rPr>
        <w:sz w:val="24"/>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7"/>
                  <w:jc w:val="center"/>
                </w:pPr>
                <w:r>
                  <w:rPr>
                    <w:sz w:val="24"/>
                  </w:rPr>
                  <w:fldChar w:fldCharType="begin"/>
                </w:r>
                <w:r>
                  <w:rPr>
                    <w:rStyle w:val="59"/>
                    <w:sz w:val="24"/>
                  </w:rPr>
                  <w:instrText xml:space="preserve"> PAGE </w:instrText>
                </w:r>
                <w:r>
                  <w:rPr>
                    <w:sz w:val="24"/>
                  </w:rPr>
                  <w:fldChar w:fldCharType="separate"/>
                </w:r>
                <w:r>
                  <w:rPr>
                    <w:rStyle w:val="59"/>
                    <w:sz w:val="24"/>
                  </w:rPr>
                  <w:t>- 44 -</w:t>
                </w:r>
                <w:r>
                  <w:rPr>
                    <w:sz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u w:val="single"/>
      </w:rPr>
    </w:pPr>
    <w:r>
      <w:rPr>
        <w:rFonts w:hint="eastAsia"/>
        <w:szCs w:val="22"/>
        <w:u w:val="single"/>
      </w:rPr>
      <w:t>四川外国语大学招投标采购办公室</w:t>
    </w:r>
    <w:r>
      <w:rPr>
        <w:rFonts w:hint="eastAsia"/>
        <w:u w:val="single"/>
      </w:rPr>
      <w:t xml:space="preserve">                                                            竞争性磋商文件</w:t>
    </w:r>
  </w:p>
  <w:p>
    <w:pPr>
      <w:pStyle w:val="39"/>
      <w:pBdr>
        <w:bottom w:val="none" w:color="auto" w:sz="0" w:space="0"/>
      </w:pBdr>
      <w:jc w:val="both"/>
      <w:rPr>
        <w:rFonts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u w:val="single"/>
      </w:rPr>
    </w:pPr>
    <w:r>
      <w:rPr>
        <w:rFonts w:hint="eastAsia"/>
        <w:szCs w:val="22"/>
        <w:u w:val="single"/>
      </w:rPr>
      <w:t>四川外国语大学招投标采购办公室</w:t>
    </w:r>
    <w:r>
      <w:rPr>
        <w:rFonts w:hint="eastAsia"/>
        <w:u w:val="single"/>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rFonts w:ascii="方正仿宋_GBK" w:eastAsia="方正仿宋_GBK"/>
        <w:sz w:val="21"/>
        <w:szCs w:val="21"/>
      </w:rPr>
    </w:pPr>
    <w:r>
      <w:rPr>
        <w:rFonts w:hint="eastAsia"/>
        <w:szCs w:val="22"/>
        <w:u w:val="single"/>
      </w:rPr>
      <w:t>四川外国语大学招投标采购办公室</w:t>
    </w:r>
    <w:r>
      <w:rPr>
        <w:rFonts w:hint="eastAsia"/>
        <w:u w:val="single"/>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rFonts w:ascii="方正仿宋_GBK" w:eastAsia="方正仿宋_GBK"/>
        <w:sz w:val="21"/>
        <w:szCs w:val="24"/>
      </w:rPr>
    </w:pPr>
    <w:r>
      <w:rPr>
        <w:rFonts w:hint="eastAsia"/>
        <w:szCs w:val="22"/>
        <w:u w:val="single"/>
      </w:rPr>
      <w:t>四川外国语大学招投标采购办公室</w:t>
    </w:r>
    <w:r>
      <w:rPr>
        <w:rFonts w:hint="eastAsia"/>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906025"/>
    <w:multiLevelType w:val="singleLevel"/>
    <w:tmpl w:val="B2906025"/>
    <w:lvl w:ilvl="0" w:tentative="0">
      <w:start w:val="6"/>
      <w:numFmt w:val="decimal"/>
      <w:suff w:val="nothing"/>
      <w:lvlText w:val="%1、"/>
      <w:lvlJc w:val="left"/>
    </w:lvl>
  </w:abstractNum>
  <w:abstractNum w:abstractNumId="1">
    <w:nsid w:val="E7F95899"/>
    <w:multiLevelType w:val="singleLevel"/>
    <w:tmpl w:val="E7F95899"/>
    <w:lvl w:ilvl="0" w:tentative="0">
      <w:start w:val="13"/>
      <w:numFmt w:val="chineseCounting"/>
      <w:suff w:val="nothing"/>
      <w:lvlText w:val="（%1）"/>
      <w:lvlJc w:val="left"/>
      <w:rPr>
        <w:rFonts w:hint="eastAsia"/>
      </w:rPr>
    </w:lvl>
  </w:abstractNum>
  <w:abstractNum w:abstractNumId="2">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92562B3"/>
    <w:multiLevelType w:val="singleLevel"/>
    <w:tmpl w:val="792562B3"/>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80"/>
  <w:drawingGridHorizontalSpacing w:val="140"/>
  <w:drawingGridVerticalSpacing w:val="381"/>
  <w:displayHorizont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rsids>
    <w:rsidRoot w:val="00172A27"/>
    <w:rsid w:val="00005289"/>
    <w:rsid w:val="000072F0"/>
    <w:rsid w:val="00011AF1"/>
    <w:rsid w:val="00013118"/>
    <w:rsid w:val="00021946"/>
    <w:rsid w:val="000266A1"/>
    <w:rsid w:val="00031283"/>
    <w:rsid w:val="00034A67"/>
    <w:rsid w:val="0003767C"/>
    <w:rsid w:val="000376BA"/>
    <w:rsid w:val="00042250"/>
    <w:rsid w:val="00043311"/>
    <w:rsid w:val="000534AD"/>
    <w:rsid w:val="00056058"/>
    <w:rsid w:val="00060807"/>
    <w:rsid w:val="0006572E"/>
    <w:rsid w:val="00073638"/>
    <w:rsid w:val="00075520"/>
    <w:rsid w:val="00075CFB"/>
    <w:rsid w:val="00093835"/>
    <w:rsid w:val="00093DA2"/>
    <w:rsid w:val="000946BD"/>
    <w:rsid w:val="00094D91"/>
    <w:rsid w:val="0009538B"/>
    <w:rsid w:val="0009710E"/>
    <w:rsid w:val="000A5589"/>
    <w:rsid w:val="000B2716"/>
    <w:rsid w:val="000B5473"/>
    <w:rsid w:val="000B61C6"/>
    <w:rsid w:val="000B6E61"/>
    <w:rsid w:val="000C15D1"/>
    <w:rsid w:val="000C2017"/>
    <w:rsid w:val="000C2F4E"/>
    <w:rsid w:val="000D2556"/>
    <w:rsid w:val="000D5653"/>
    <w:rsid w:val="000D7232"/>
    <w:rsid w:val="000E43DC"/>
    <w:rsid w:val="000E5F8F"/>
    <w:rsid w:val="000E653D"/>
    <w:rsid w:val="000F16AA"/>
    <w:rsid w:val="000F176A"/>
    <w:rsid w:val="000F2968"/>
    <w:rsid w:val="000F5015"/>
    <w:rsid w:val="00104063"/>
    <w:rsid w:val="001103D7"/>
    <w:rsid w:val="00110AA3"/>
    <w:rsid w:val="0011194D"/>
    <w:rsid w:val="001141C0"/>
    <w:rsid w:val="00120ADE"/>
    <w:rsid w:val="001212BE"/>
    <w:rsid w:val="00122F57"/>
    <w:rsid w:val="0012759E"/>
    <w:rsid w:val="00133ACA"/>
    <w:rsid w:val="00135250"/>
    <w:rsid w:val="001407F6"/>
    <w:rsid w:val="001432DF"/>
    <w:rsid w:val="00146BD2"/>
    <w:rsid w:val="001517A7"/>
    <w:rsid w:val="001528E5"/>
    <w:rsid w:val="00154015"/>
    <w:rsid w:val="00161645"/>
    <w:rsid w:val="0016356C"/>
    <w:rsid w:val="00172A27"/>
    <w:rsid w:val="00175716"/>
    <w:rsid w:val="001767A8"/>
    <w:rsid w:val="00181A5A"/>
    <w:rsid w:val="0018331F"/>
    <w:rsid w:val="001864B0"/>
    <w:rsid w:val="00187FB8"/>
    <w:rsid w:val="00194BA0"/>
    <w:rsid w:val="001A0940"/>
    <w:rsid w:val="001A2E38"/>
    <w:rsid w:val="001A7720"/>
    <w:rsid w:val="001B64C8"/>
    <w:rsid w:val="001B6990"/>
    <w:rsid w:val="001C2E27"/>
    <w:rsid w:val="001C2F7D"/>
    <w:rsid w:val="001C2FCA"/>
    <w:rsid w:val="001D3B7E"/>
    <w:rsid w:val="001D3EB2"/>
    <w:rsid w:val="001E118A"/>
    <w:rsid w:val="001E2993"/>
    <w:rsid w:val="001E299D"/>
    <w:rsid w:val="001E3823"/>
    <w:rsid w:val="001E4F32"/>
    <w:rsid w:val="001E51CE"/>
    <w:rsid w:val="001F383E"/>
    <w:rsid w:val="00205A0E"/>
    <w:rsid w:val="0021118D"/>
    <w:rsid w:val="0021142F"/>
    <w:rsid w:val="00217C0F"/>
    <w:rsid w:val="00223B03"/>
    <w:rsid w:val="00223E6B"/>
    <w:rsid w:val="0022486B"/>
    <w:rsid w:val="0022711C"/>
    <w:rsid w:val="00233AFE"/>
    <w:rsid w:val="00234384"/>
    <w:rsid w:val="002435D0"/>
    <w:rsid w:val="00243F8F"/>
    <w:rsid w:val="00252999"/>
    <w:rsid w:val="0025308A"/>
    <w:rsid w:val="00254E22"/>
    <w:rsid w:val="0025601D"/>
    <w:rsid w:val="00257FF1"/>
    <w:rsid w:val="00262267"/>
    <w:rsid w:val="00263F00"/>
    <w:rsid w:val="00264A68"/>
    <w:rsid w:val="00264CB2"/>
    <w:rsid w:val="00266969"/>
    <w:rsid w:val="00275EED"/>
    <w:rsid w:val="0028066C"/>
    <w:rsid w:val="002824CC"/>
    <w:rsid w:val="002833CF"/>
    <w:rsid w:val="0029022C"/>
    <w:rsid w:val="002A0576"/>
    <w:rsid w:val="002A5DC8"/>
    <w:rsid w:val="002B26F0"/>
    <w:rsid w:val="002C27CF"/>
    <w:rsid w:val="002C4BE3"/>
    <w:rsid w:val="002C50B8"/>
    <w:rsid w:val="002C6836"/>
    <w:rsid w:val="002C7F2B"/>
    <w:rsid w:val="002D2F75"/>
    <w:rsid w:val="002D4795"/>
    <w:rsid w:val="002E0FB6"/>
    <w:rsid w:val="002E1597"/>
    <w:rsid w:val="002E2816"/>
    <w:rsid w:val="002E41DF"/>
    <w:rsid w:val="002E6DFA"/>
    <w:rsid w:val="002F1086"/>
    <w:rsid w:val="002F5EEF"/>
    <w:rsid w:val="003001B7"/>
    <w:rsid w:val="003004CA"/>
    <w:rsid w:val="00313CD2"/>
    <w:rsid w:val="003231A8"/>
    <w:rsid w:val="00331597"/>
    <w:rsid w:val="00340B4C"/>
    <w:rsid w:val="00344FF3"/>
    <w:rsid w:val="003478E0"/>
    <w:rsid w:val="00355870"/>
    <w:rsid w:val="00370BF4"/>
    <w:rsid w:val="0037169E"/>
    <w:rsid w:val="003731A1"/>
    <w:rsid w:val="00374A58"/>
    <w:rsid w:val="00375B2C"/>
    <w:rsid w:val="00383045"/>
    <w:rsid w:val="00383C9F"/>
    <w:rsid w:val="0038635F"/>
    <w:rsid w:val="003902F6"/>
    <w:rsid w:val="003A2EFE"/>
    <w:rsid w:val="003A4636"/>
    <w:rsid w:val="003A5644"/>
    <w:rsid w:val="003A7FE4"/>
    <w:rsid w:val="003B1C1E"/>
    <w:rsid w:val="003B32E1"/>
    <w:rsid w:val="003C3995"/>
    <w:rsid w:val="003D0992"/>
    <w:rsid w:val="003D1F45"/>
    <w:rsid w:val="003D6623"/>
    <w:rsid w:val="003E31BB"/>
    <w:rsid w:val="003E5E95"/>
    <w:rsid w:val="003E699F"/>
    <w:rsid w:val="003E7D55"/>
    <w:rsid w:val="003F2CFF"/>
    <w:rsid w:val="003F5BC7"/>
    <w:rsid w:val="0040154D"/>
    <w:rsid w:val="0040799A"/>
    <w:rsid w:val="00410D92"/>
    <w:rsid w:val="00411C41"/>
    <w:rsid w:val="0041328C"/>
    <w:rsid w:val="004157DD"/>
    <w:rsid w:val="00415899"/>
    <w:rsid w:val="00422860"/>
    <w:rsid w:val="00424620"/>
    <w:rsid w:val="00425B08"/>
    <w:rsid w:val="004308F2"/>
    <w:rsid w:val="00431A98"/>
    <w:rsid w:val="0043290B"/>
    <w:rsid w:val="00442474"/>
    <w:rsid w:val="0044361E"/>
    <w:rsid w:val="0045181E"/>
    <w:rsid w:val="00452C29"/>
    <w:rsid w:val="00454511"/>
    <w:rsid w:val="0045590E"/>
    <w:rsid w:val="00456134"/>
    <w:rsid w:val="00461A9C"/>
    <w:rsid w:val="00467748"/>
    <w:rsid w:val="00474425"/>
    <w:rsid w:val="00475385"/>
    <w:rsid w:val="0047562B"/>
    <w:rsid w:val="00476BD4"/>
    <w:rsid w:val="0048396B"/>
    <w:rsid w:val="00485174"/>
    <w:rsid w:val="00487CDA"/>
    <w:rsid w:val="004978F0"/>
    <w:rsid w:val="004A0052"/>
    <w:rsid w:val="004A263F"/>
    <w:rsid w:val="004A2CA9"/>
    <w:rsid w:val="004B1497"/>
    <w:rsid w:val="004B6CA6"/>
    <w:rsid w:val="004B7FE0"/>
    <w:rsid w:val="004C035B"/>
    <w:rsid w:val="004C113B"/>
    <w:rsid w:val="004C1FC5"/>
    <w:rsid w:val="004C2A6E"/>
    <w:rsid w:val="004D009E"/>
    <w:rsid w:val="004D0C20"/>
    <w:rsid w:val="004D78A8"/>
    <w:rsid w:val="004E0E56"/>
    <w:rsid w:val="004E257E"/>
    <w:rsid w:val="004F10E4"/>
    <w:rsid w:val="004F7166"/>
    <w:rsid w:val="005016D9"/>
    <w:rsid w:val="0050188F"/>
    <w:rsid w:val="00502629"/>
    <w:rsid w:val="00513CBD"/>
    <w:rsid w:val="0051793F"/>
    <w:rsid w:val="005216D1"/>
    <w:rsid w:val="00525E4A"/>
    <w:rsid w:val="00536288"/>
    <w:rsid w:val="00536514"/>
    <w:rsid w:val="0053665C"/>
    <w:rsid w:val="00537C42"/>
    <w:rsid w:val="00541231"/>
    <w:rsid w:val="00546C36"/>
    <w:rsid w:val="0055311C"/>
    <w:rsid w:val="00561DD5"/>
    <w:rsid w:val="005645D3"/>
    <w:rsid w:val="00566CBB"/>
    <w:rsid w:val="00587496"/>
    <w:rsid w:val="00591F49"/>
    <w:rsid w:val="00593F3D"/>
    <w:rsid w:val="005A18A4"/>
    <w:rsid w:val="005A5F7A"/>
    <w:rsid w:val="005A6846"/>
    <w:rsid w:val="005B1105"/>
    <w:rsid w:val="005B1829"/>
    <w:rsid w:val="005B5D00"/>
    <w:rsid w:val="005C1462"/>
    <w:rsid w:val="005C4345"/>
    <w:rsid w:val="005C5AEE"/>
    <w:rsid w:val="005C66D3"/>
    <w:rsid w:val="005D2F52"/>
    <w:rsid w:val="005D3F4F"/>
    <w:rsid w:val="005E0CF3"/>
    <w:rsid w:val="005E117E"/>
    <w:rsid w:val="005E12B4"/>
    <w:rsid w:val="005E7B12"/>
    <w:rsid w:val="005E7CC7"/>
    <w:rsid w:val="005F5262"/>
    <w:rsid w:val="005F65A7"/>
    <w:rsid w:val="00600DF2"/>
    <w:rsid w:val="00601283"/>
    <w:rsid w:val="006016E0"/>
    <w:rsid w:val="0060469C"/>
    <w:rsid w:val="00604C66"/>
    <w:rsid w:val="00611503"/>
    <w:rsid w:val="006140F2"/>
    <w:rsid w:val="00614131"/>
    <w:rsid w:val="00616897"/>
    <w:rsid w:val="00616EC6"/>
    <w:rsid w:val="00623E5C"/>
    <w:rsid w:val="006341BD"/>
    <w:rsid w:val="00636C1F"/>
    <w:rsid w:val="006400A9"/>
    <w:rsid w:val="0064496E"/>
    <w:rsid w:val="006456C7"/>
    <w:rsid w:val="00645ED5"/>
    <w:rsid w:val="00653FC4"/>
    <w:rsid w:val="006558D7"/>
    <w:rsid w:val="00655CB3"/>
    <w:rsid w:val="00665F07"/>
    <w:rsid w:val="006661A4"/>
    <w:rsid w:val="0066764A"/>
    <w:rsid w:val="0067278A"/>
    <w:rsid w:val="0067284F"/>
    <w:rsid w:val="00675735"/>
    <w:rsid w:val="00675E52"/>
    <w:rsid w:val="00676700"/>
    <w:rsid w:val="006769F9"/>
    <w:rsid w:val="006800A2"/>
    <w:rsid w:val="00680385"/>
    <w:rsid w:val="00680CC4"/>
    <w:rsid w:val="00680EEC"/>
    <w:rsid w:val="0068367F"/>
    <w:rsid w:val="00687999"/>
    <w:rsid w:val="0069163E"/>
    <w:rsid w:val="00692295"/>
    <w:rsid w:val="00696EEA"/>
    <w:rsid w:val="006A0B45"/>
    <w:rsid w:val="006A3DC1"/>
    <w:rsid w:val="006A5644"/>
    <w:rsid w:val="006A71EB"/>
    <w:rsid w:val="006B55AB"/>
    <w:rsid w:val="006C32BC"/>
    <w:rsid w:val="006C4663"/>
    <w:rsid w:val="006C7007"/>
    <w:rsid w:val="006D7125"/>
    <w:rsid w:val="006E016E"/>
    <w:rsid w:val="006E283C"/>
    <w:rsid w:val="006E2F2B"/>
    <w:rsid w:val="006F1A60"/>
    <w:rsid w:val="006F2B07"/>
    <w:rsid w:val="006F566D"/>
    <w:rsid w:val="006F7B0F"/>
    <w:rsid w:val="00700AE7"/>
    <w:rsid w:val="00701E8B"/>
    <w:rsid w:val="0070269B"/>
    <w:rsid w:val="0070409F"/>
    <w:rsid w:val="007070E3"/>
    <w:rsid w:val="007101F0"/>
    <w:rsid w:val="007118AA"/>
    <w:rsid w:val="00713782"/>
    <w:rsid w:val="00717AF1"/>
    <w:rsid w:val="007244CA"/>
    <w:rsid w:val="00737E34"/>
    <w:rsid w:val="007440E6"/>
    <w:rsid w:val="007445DB"/>
    <w:rsid w:val="0075087E"/>
    <w:rsid w:val="00757139"/>
    <w:rsid w:val="007613AA"/>
    <w:rsid w:val="007615A8"/>
    <w:rsid w:val="00761E7F"/>
    <w:rsid w:val="007629D1"/>
    <w:rsid w:val="007641DF"/>
    <w:rsid w:val="007641FC"/>
    <w:rsid w:val="00765EA1"/>
    <w:rsid w:val="00766FDD"/>
    <w:rsid w:val="0077586D"/>
    <w:rsid w:val="00781E90"/>
    <w:rsid w:val="007820B8"/>
    <w:rsid w:val="007843B7"/>
    <w:rsid w:val="00787652"/>
    <w:rsid w:val="00790E05"/>
    <w:rsid w:val="00791F20"/>
    <w:rsid w:val="007977A7"/>
    <w:rsid w:val="007A0E29"/>
    <w:rsid w:val="007A1484"/>
    <w:rsid w:val="007A1958"/>
    <w:rsid w:val="007A1D16"/>
    <w:rsid w:val="007A4D8F"/>
    <w:rsid w:val="007A741E"/>
    <w:rsid w:val="007B0838"/>
    <w:rsid w:val="007B08DC"/>
    <w:rsid w:val="007C4DAA"/>
    <w:rsid w:val="007C6CB1"/>
    <w:rsid w:val="007D1EC5"/>
    <w:rsid w:val="007D5328"/>
    <w:rsid w:val="007D5CD2"/>
    <w:rsid w:val="007E0FF7"/>
    <w:rsid w:val="007E7604"/>
    <w:rsid w:val="007F13DC"/>
    <w:rsid w:val="007F2D31"/>
    <w:rsid w:val="007F396F"/>
    <w:rsid w:val="007F3ED7"/>
    <w:rsid w:val="007F6DC5"/>
    <w:rsid w:val="00803BB9"/>
    <w:rsid w:val="0080612A"/>
    <w:rsid w:val="00813DCB"/>
    <w:rsid w:val="0082143E"/>
    <w:rsid w:val="00823323"/>
    <w:rsid w:val="008234E4"/>
    <w:rsid w:val="00835FD1"/>
    <w:rsid w:val="00836907"/>
    <w:rsid w:val="00850495"/>
    <w:rsid w:val="0085255C"/>
    <w:rsid w:val="008534E0"/>
    <w:rsid w:val="00855BDE"/>
    <w:rsid w:val="0085655F"/>
    <w:rsid w:val="0085679B"/>
    <w:rsid w:val="00857322"/>
    <w:rsid w:val="00860FA0"/>
    <w:rsid w:val="00864AA6"/>
    <w:rsid w:val="00872CE0"/>
    <w:rsid w:val="008805E7"/>
    <w:rsid w:val="00885CBF"/>
    <w:rsid w:val="008862DC"/>
    <w:rsid w:val="00887F44"/>
    <w:rsid w:val="00893442"/>
    <w:rsid w:val="008A0CEB"/>
    <w:rsid w:val="008A0F4C"/>
    <w:rsid w:val="008A5968"/>
    <w:rsid w:val="008A6DB1"/>
    <w:rsid w:val="008B4143"/>
    <w:rsid w:val="008C0317"/>
    <w:rsid w:val="008C4238"/>
    <w:rsid w:val="008C4E06"/>
    <w:rsid w:val="008C54D0"/>
    <w:rsid w:val="008C5917"/>
    <w:rsid w:val="008C63F8"/>
    <w:rsid w:val="008D2FB6"/>
    <w:rsid w:val="008D5D99"/>
    <w:rsid w:val="008D71D0"/>
    <w:rsid w:val="008E19F1"/>
    <w:rsid w:val="008E1D83"/>
    <w:rsid w:val="008E4A4A"/>
    <w:rsid w:val="008E7E0D"/>
    <w:rsid w:val="008F0CB3"/>
    <w:rsid w:val="008F5167"/>
    <w:rsid w:val="008F6B0B"/>
    <w:rsid w:val="008F7FC7"/>
    <w:rsid w:val="00906CF9"/>
    <w:rsid w:val="00907D95"/>
    <w:rsid w:val="009111F7"/>
    <w:rsid w:val="009163D4"/>
    <w:rsid w:val="00923C4C"/>
    <w:rsid w:val="00923D34"/>
    <w:rsid w:val="00927337"/>
    <w:rsid w:val="0092759C"/>
    <w:rsid w:val="00932299"/>
    <w:rsid w:val="00935344"/>
    <w:rsid w:val="00937AF4"/>
    <w:rsid w:val="00937E99"/>
    <w:rsid w:val="00940B77"/>
    <w:rsid w:val="009431CE"/>
    <w:rsid w:val="00951113"/>
    <w:rsid w:val="00952A37"/>
    <w:rsid w:val="0095360A"/>
    <w:rsid w:val="00965D3C"/>
    <w:rsid w:val="009704E8"/>
    <w:rsid w:val="009757E0"/>
    <w:rsid w:val="00977EA2"/>
    <w:rsid w:val="009815D1"/>
    <w:rsid w:val="009836E0"/>
    <w:rsid w:val="009847F2"/>
    <w:rsid w:val="009931BD"/>
    <w:rsid w:val="00993E75"/>
    <w:rsid w:val="009961AF"/>
    <w:rsid w:val="009966CC"/>
    <w:rsid w:val="00997ED7"/>
    <w:rsid w:val="009A2F0C"/>
    <w:rsid w:val="009A559F"/>
    <w:rsid w:val="009A7078"/>
    <w:rsid w:val="009B5BFF"/>
    <w:rsid w:val="009B63C8"/>
    <w:rsid w:val="009B7144"/>
    <w:rsid w:val="009C0113"/>
    <w:rsid w:val="009C33FD"/>
    <w:rsid w:val="009C6566"/>
    <w:rsid w:val="009D3468"/>
    <w:rsid w:val="009D3B70"/>
    <w:rsid w:val="009D3B7C"/>
    <w:rsid w:val="009D68DB"/>
    <w:rsid w:val="009E29DA"/>
    <w:rsid w:val="009E6755"/>
    <w:rsid w:val="009E7274"/>
    <w:rsid w:val="009F30A4"/>
    <w:rsid w:val="009F3F85"/>
    <w:rsid w:val="00A008F0"/>
    <w:rsid w:val="00A05776"/>
    <w:rsid w:val="00A216BD"/>
    <w:rsid w:val="00A24909"/>
    <w:rsid w:val="00A33DAC"/>
    <w:rsid w:val="00A348D5"/>
    <w:rsid w:val="00A36A74"/>
    <w:rsid w:val="00A36EAF"/>
    <w:rsid w:val="00A4237D"/>
    <w:rsid w:val="00A43B02"/>
    <w:rsid w:val="00A43BFA"/>
    <w:rsid w:val="00A442C7"/>
    <w:rsid w:val="00A51015"/>
    <w:rsid w:val="00A52466"/>
    <w:rsid w:val="00A55505"/>
    <w:rsid w:val="00A70CFF"/>
    <w:rsid w:val="00A76CCE"/>
    <w:rsid w:val="00A7791A"/>
    <w:rsid w:val="00A80117"/>
    <w:rsid w:val="00A80122"/>
    <w:rsid w:val="00A83EFC"/>
    <w:rsid w:val="00A84CC4"/>
    <w:rsid w:val="00A85534"/>
    <w:rsid w:val="00A85AFE"/>
    <w:rsid w:val="00A87965"/>
    <w:rsid w:val="00A96FAC"/>
    <w:rsid w:val="00A97B25"/>
    <w:rsid w:val="00AA178F"/>
    <w:rsid w:val="00AA29D5"/>
    <w:rsid w:val="00AA3559"/>
    <w:rsid w:val="00AA3A39"/>
    <w:rsid w:val="00AA3DB5"/>
    <w:rsid w:val="00AA3EA9"/>
    <w:rsid w:val="00AA5FAE"/>
    <w:rsid w:val="00AB520A"/>
    <w:rsid w:val="00AB65A4"/>
    <w:rsid w:val="00AC0D4B"/>
    <w:rsid w:val="00AC0F44"/>
    <w:rsid w:val="00AC34CB"/>
    <w:rsid w:val="00AC5FB2"/>
    <w:rsid w:val="00AC7E13"/>
    <w:rsid w:val="00AD0185"/>
    <w:rsid w:val="00AD18FE"/>
    <w:rsid w:val="00AE6D6B"/>
    <w:rsid w:val="00AF4CCD"/>
    <w:rsid w:val="00B024AD"/>
    <w:rsid w:val="00B03427"/>
    <w:rsid w:val="00B10447"/>
    <w:rsid w:val="00B14BA1"/>
    <w:rsid w:val="00B20DE3"/>
    <w:rsid w:val="00B27E43"/>
    <w:rsid w:val="00B332F8"/>
    <w:rsid w:val="00B40520"/>
    <w:rsid w:val="00B40E48"/>
    <w:rsid w:val="00B43C97"/>
    <w:rsid w:val="00B45B0C"/>
    <w:rsid w:val="00B46964"/>
    <w:rsid w:val="00B46AE5"/>
    <w:rsid w:val="00B47211"/>
    <w:rsid w:val="00B477F3"/>
    <w:rsid w:val="00B479A2"/>
    <w:rsid w:val="00B54C95"/>
    <w:rsid w:val="00B61D5E"/>
    <w:rsid w:val="00B66F07"/>
    <w:rsid w:val="00B729CB"/>
    <w:rsid w:val="00B744BA"/>
    <w:rsid w:val="00B74E30"/>
    <w:rsid w:val="00B815BC"/>
    <w:rsid w:val="00B82429"/>
    <w:rsid w:val="00B82C14"/>
    <w:rsid w:val="00B83E7A"/>
    <w:rsid w:val="00B854A8"/>
    <w:rsid w:val="00B873B0"/>
    <w:rsid w:val="00B875AF"/>
    <w:rsid w:val="00B9347F"/>
    <w:rsid w:val="00B94DDB"/>
    <w:rsid w:val="00B950DB"/>
    <w:rsid w:val="00B9519B"/>
    <w:rsid w:val="00B964E1"/>
    <w:rsid w:val="00B97F1C"/>
    <w:rsid w:val="00BA0493"/>
    <w:rsid w:val="00BA0B25"/>
    <w:rsid w:val="00BA1C25"/>
    <w:rsid w:val="00BA33A9"/>
    <w:rsid w:val="00BA4C26"/>
    <w:rsid w:val="00BA6B4A"/>
    <w:rsid w:val="00BB0B36"/>
    <w:rsid w:val="00BB4C64"/>
    <w:rsid w:val="00BC1F99"/>
    <w:rsid w:val="00BC4871"/>
    <w:rsid w:val="00BC4D5D"/>
    <w:rsid w:val="00BC599A"/>
    <w:rsid w:val="00BC7CD5"/>
    <w:rsid w:val="00BD2A11"/>
    <w:rsid w:val="00BD40D3"/>
    <w:rsid w:val="00BD42A5"/>
    <w:rsid w:val="00BD4C83"/>
    <w:rsid w:val="00BD6D76"/>
    <w:rsid w:val="00BE200A"/>
    <w:rsid w:val="00BF4212"/>
    <w:rsid w:val="00BF504B"/>
    <w:rsid w:val="00C06BF7"/>
    <w:rsid w:val="00C11DF3"/>
    <w:rsid w:val="00C22DB1"/>
    <w:rsid w:val="00C22FB5"/>
    <w:rsid w:val="00C23C59"/>
    <w:rsid w:val="00C3019E"/>
    <w:rsid w:val="00C3134C"/>
    <w:rsid w:val="00C35F43"/>
    <w:rsid w:val="00C364F2"/>
    <w:rsid w:val="00C423BA"/>
    <w:rsid w:val="00C45ACD"/>
    <w:rsid w:val="00C54B30"/>
    <w:rsid w:val="00C558E6"/>
    <w:rsid w:val="00C56AA0"/>
    <w:rsid w:val="00C62A1C"/>
    <w:rsid w:val="00C657A0"/>
    <w:rsid w:val="00C665A1"/>
    <w:rsid w:val="00C71166"/>
    <w:rsid w:val="00C71788"/>
    <w:rsid w:val="00C733D9"/>
    <w:rsid w:val="00C74BE1"/>
    <w:rsid w:val="00C778A3"/>
    <w:rsid w:val="00C7796A"/>
    <w:rsid w:val="00C779F6"/>
    <w:rsid w:val="00C815BF"/>
    <w:rsid w:val="00C81D6F"/>
    <w:rsid w:val="00C95622"/>
    <w:rsid w:val="00CA0FAD"/>
    <w:rsid w:val="00CA1065"/>
    <w:rsid w:val="00CA2CA5"/>
    <w:rsid w:val="00CA35F2"/>
    <w:rsid w:val="00CA4768"/>
    <w:rsid w:val="00CA6238"/>
    <w:rsid w:val="00CB0641"/>
    <w:rsid w:val="00CB1B17"/>
    <w:rsid w:val="00CC1958"/>
    <w:rsid w:val="00CC2735"/>
    <w:rsid w:val="00CC3557"/>
    <w:rsid w:val="00CC658E"/>
    <w:rsid w:val="00CD07B0"/>
    <w:rsid w:val="00CE117F"/>
    <w:rsid w:val="00CE69EB"/>
    <w:rsid w:val="00CE6A29"/>
    <w:rsid w:val="00CF7D09"/>
    <w:rsid w:val="00D00074"/>
    <w:rsid w:val="00D004DE"/>
    <w:rsid w:val="00D03EF8"/>
    <w:rsid w:val="00D175E6"/>
    <w:rsid w:val="00D22824"/>
    <w:rsid w:val="00D2387A"/>
    <w:rsid w:val="00D2410F"/>
    <w:rsid w:val="00D32E09"/>
    <w:rsid w:val="00D3316C"/>
    <w:rsid w:val="00D33903"/>
    <w:rsid w:val="00D364F9"/>
    <w:rsid w:val="00D40ED4"/>
    <w:rsid w:val="00D5598F"/>
    <w:rsid w:val="00D56691"/>
    <w:rsid w:val="00D62581"/>
    <w:rsid w:val="00D629C4"/>
    <w:rsid w:val="00D7026F"/>
    <w:rsid w:val="00D70362"/>
    <w:rsid w:val="00D72A76"/>
    <w:rsid w:val="00D7378A"/>
    <w:rsid w:val="00D771DD"/>
    <w:rsid w:val="00D7749E"/>
    <w:rsid w:val="00D928FC"/>
    <w:rsid w:val="00D93E8A"/>
    <w:rsid w:val="00D95EF5"/>
    <w:rsid w:val="00D96D4D"/>
    <w:rsid w:val="00D974F6"/>
    <w:rsid w:val="00DA46EA"/>
    <w:rsid w:val="00DA473D"/>
    <w:rsid w:val="00DA5311"/>
    <w:rsid w:val="00DB1DD6"/>
    <w:rsid w:val="00DB361F"/>
    <w:rsid w:val="00DB44D7"/>
    <w:rsid w:val="00DB4665"/>
    <w:rsid w:val="00DB54D4"/>
    <w:rsid w:val="00DB7DF8"/>
    <w:rsid w:val="00DC16CA"/>
    <w:rsid w:val="00DC3586"/>
    <w:rsid w:val="00DC663A"/>
    <w:rsid w:val="00DD0496"/>
    <w:rsid w:val="00DD16EF"/>
    <w:rsid w:val="00DD4BCC"/>
    <w:rsid w:val="00DD5F12"/>
    <w:rsid w:val="00DE4E0A"/>
    <w:rsid w:val="00DE63D8"/>
    <w:rsid w:val="00DF461B"/>
    <w:rsid w:val="00DF5998"/>
    <w:rsid w:val="00DF6707"/>
    <w:rsid w:val="00E00F05"/>
    <w:rsid w:val="00E01110"/>
    <w:rsid w:val="00E0374D"/>
    <w:rsid w:val="00E03A0F"/>
    <w:rsid w:val="00E068FC"/>
    <w:rsid w:val="00E142B5"/>
    <w:rsid w:val="00E15AE5"/>
    <w:rsid w:val="00E179FF"/>
    <w:rsid w:val="00E300BE"/>
    <w:rsid w:val="00E30B66"/>
    <w:rsid w:val="00E42F72"/>
    <w:rsid w:val="00E433A0"/>
    <w:rsid w:val="00E434AF"/>
    <w:rsid w:val="00E43B42"/>
    <w:rsid w:val="00E43C34"/>
    <w:rsid w:val="00E44FE2"/>
    <w:rsid w:val="00E5107B"/>
    <w:rsid w:val="00E565E8"/>
    <w:rsid w:val="00E60B6E"/>
    <w:rsid w:val="00E62F7E"/>
    <w:rsid w:val="00E84D70"/>
    <w:rsid w:val="00E85EE0"/>
    <w:rsid w:val="00E93790"/>
    <w:rsid w:val="00E95314"/>
    <w:rsid w:val="00E96DB6"/>
    <w:rsid w:val="00EA09A7"/>
    <w:rsid w:val="00EA229F"/>
    <w:rsid w:val="00EA3EC6"/>
    <w:rsid w:val="00EA5253"/>
    <w:rsid w:val="00EB2351"/>
    <w:rsid w:val="00EC1EDD"/>
    <w:rsid w:val="00EC53CC"/>
    <w:rsid w:val="00ED231E"/>
    <w:rsid w:val="00ED3B99"/>
    <w:rsid w:val="00ED51FD"/>
    <w:rsid w:val="00EE16D2"/>
    <w:rsid w:val="00EE4B26"/>
    <w:rsid w:val="00EE50D3"/>
    <w:rsid w:val="00EE6FB0"/>
    <w:rsid w:val="00EE719A"/>
    <w:rsid w:val="00EF38C0"/>
    <w:rsid w:val="00EF7D65"/>
    <w:rsid w:val="00F028F2"/>
    <w:rsid w:val="00F06FCC"/>
    <w:rsid w:val="00F10ADE"/>
    <w:rsid w:val="00F11682"/>
    <w:rsid w:val="00F116A5"/>
    <w:rsid w:val="00F14457"/>
    <w:rsid w:val="00F15AF5"/>
    <w:rsid w:val="00F175CB"/>
    <w:rsid w:val="00F20386"/>
    <w:rsid w:val="00F24130"/>
    <w:rsid w:val="00F33765"/>
    <w:rsid w:val="00F5045C"/>
    <w:rsid w:val="00F572D1"/>
    <w:rsid w:val="00F573B6"/>
    <w:rsid w:val="00F63F74"/>
    <w:rsid w:val="00F67BE1"/>
    <w:rsid w:val="00F753A8"/>
    <w:rsid w:val="00F7735B"/>
    <w:rsid w:val="00F830A4"/>
    <w:rsid w:val="00F84A1B"/>
    <w:rsid w:val="00F86F8B"/>
    <w:rsid w:val="00FA422E"/>
    <w:rsid w:val="00FA65AC"/>
    <w:rsid w:val="00FA72B1"/>
    <w:rsid w:val="00FA7A1C"/>
    <w:rsid w:val="00FB26B3"/>
    <w:rsid w:val="00FB2D23"/>
    <w:rsid w:val="00FB7965"/>
    <w:rsid w:val="00FC059C"/>
    <w:rsid w:val="00FC10F7"/>
    <w:rsid w:val="00FC6A7B"/>
    <w:rsid w:val="00FC6C5A"/>
    <w:rsid w:val="00FD189A"/>
    <w:rsid w:val="00FD5C43"/>
    <w:rsid w:val="00FE18B7"/>
    <w:rsid w:val="00FE57C5"/>
    <w:rsid w:val="00FE5C2B"/>
    <w:rsid w:val="00FF2D68"/>
    <w:rsid w:val="00FF3B86"/>
    <w:rsid w:val="00FF7AE3"/>
    <w:rsid w:val="00FF7EB1"/>
    <w:rsid w:val="051E735C"/>
    <w:rsid w:val="06415AF1"/>
    <w:rsid w:val="07354077"/>
    <w:rsid w:val="09146A4F"/>
    <w:rsid w:val="09F16369"/>
    <w:rsid w:val="0A5A4176"/>
    <w:rsid w:val="0B58189F"/>
    <w:rsid w:val="0B902512"/>
    <w:rsid w:val="0BD551C7"/>
    <w:rsid w:val="0E2C211A"/>
    <w:rsid w:val="0F9A24AE"/>
    <w:rsid w:val="10A6543F"/>
    <w:rsid w:val="11C171FA"/>
    <w:rsid w:val="124850C8"/>
    <w:rsid w:val="12FA3BE3"/>
    <w:rsid w:val="13BF1558"/>
    <w:rsid w:val="14C92414"/>
    <w:rsid w:val="14DC1A68"/>
    <w:rsid w:val="170F1C5F"/>
    <w:rsid w:val="17287E21"/>
    <w:rsid w:val="19265201"/>
    <w:rsid w:val="19686BD6"/>
    <w:rsid w:val="197631BA"/>
    <w:rsid w:val="1A317C63"/>
    <w:rsid w:val="1C2E045C"/>
    <w:rsid w:val="1D1C3150"/>
    <w:rsid w:val="202974E0"/>
    <w:rsid w:val="207F2432"/>
    <w:rsid w:val="20DF6360"/>
    <w:rsid w:val="20F05F1F"/>
    <w:rsid w:val="210442D7"/>
    <w:rsid w:val="218C6A20"/>
    <w:rsid w:val="21932DA7"/>
    <w:rsid w:val="22001480"/>
    <w:rsid w:val="22700215"/>
    <w:rsid w:val="246953E4"/>
    <w:rsid w:val="24E838BF"/>
    <w:rsid w:val="25317233"/>
    <w:rsid w:val="25EE300B"/>
    <w:rsid w:val="270636F9"/>
    <w:rsid w:val="2712084A"/>
    <w:rsid w:val="279A40A3"/>
    <w:rsid w:val="28343779"/>
    <w:rsid w:val="29334F61"/>
    <w:rsid w:val="29360A13"/>
    <w:rsid w:val="2D5679F9"/>
    <w:rsid w:val="302241E0"/>
    <w:rsid w:val="31596731"/>
    <w:rsid w:val="32AA2715"/>
    <w:rsid w:val="33EB4EE7"/>
    <w:rsid w:val="34012450"/>
    <w:rsid w:val="341E6D68"/>
    <w:rsid w:val="376C2965"/>
    <w:rsid w:val="38580F34"/>
    <w:rsid w:val="392E20B8"/>
    <w:rsid w:val="3AC52760"/>
    <w:rsid w:val="3BAA0DCF"/>
    <w:rsid w:val="3BE109F1"/>
    <w:rsid w:val="3C2F7F26"/>
    <w:rsid w:val="3EC94E00"/>
    <w:rsid w:val="3F051214"/>
    <w:rsid w:val="409D6B79"/>
    <w:rsid w:val="41E11501"/>
    <w:rsid w:val="4307435E"/>
    <w:rsid w:val="459149CF"/>
    <w:rsid w:val="45D6029E"/>
    <w:rsid w:val="462A16D4"/>
    <w:rsid w:val="46416AD6"/>
    <w:rsid w:val="47222D97"/>
    <w:rsid w:val="484732AE"/>
    <w:rsid w:val="49231AC5"/>
    <w:rsid w:val="49D3258D"/>
    <w:rsid w:val="4AF03C47"/>
    <w:rsid w:val="4B295AFA"/>
    <w:rsid w:val="4BCE5E6A"/>
    <w:rsid w:val="4C015D45"/>
    <w:rsid w:val="4D3A4C45"/>
    <w:rsid w:val="4D8658CF"/>
    <w:rsid w:val="4DDC1AFD"/>
    <w:rsid w:val="4F564969"/>
    <w:rsid w:val="4FE73C0A"/>
    <w:rsid w:val="503678A2"/>
    <w:rsid w:val="51614970"/>
    <w:rsid w:val="533F288B"/>
    <w:rsid w:val="53A20C48"/>
    <w:rsid w:val="56097E74"/>
    <w:rsid w:val="56743A1E"/>
    <w:rsid w:val="57B24B11"/>
    <w:rsid w:val="57DE6033"/>
    <w:rsid w:val="58724739"/>
    <w:rsid w:val="5ADA3DE6"/>
    <w:rsid w:val="5B7A0504"/>
    <w:rsid w:val="5BDB3FA9"/>
    <w:rsid w:val="5C567324"/>
    <w:rsid w:val="5DE67238"/>
    <w:rsid w:val="5EC84D5B"/>
    <w:rsid w:val="600754BC"/>
    <w:rsid w:val="60256F91"/>
    <w:rsid w:val="610D1EF7"/>
    <w:rsid w:val="61905BF3"/>
    <w:rsid w:val="61A1389F"/>
    <w:rsid w:val="61C32BF1"/>
    <w:rsid w:val="61CA06CB"/>
    <w:rsid w:val="62E42576"/>
    <w:rsid w:val="642E6E8E"/>
    <w:rsid w:val="676D7269"/>
    <w:rsid w:val="69773693"/>
    <w:rsid w:val="69D962E0"/>
    <w:rsid w:val="6A912B30"/>
    <w:rsid w:val="6B6A1C3A"/>
    <w:rsid w:val="6CF821E9"/>
    <w:rsid w:val="6D3F4F12"/>
    <w:rsid w:val="71B91D5F"/>
    <w:rsid w:val="731F790C"/>
    <w:rsid w:val="7575298F"/>
    <w:rsid w:val="768D7283"/>
    <w:rsid w:val="78877564"/>
    <w:rsid w:val="7A16200C"/>
    <w:rsid w:val="7AF6094C"/>
    <w:rsid w:val="7B1A42F5"/>
    <w:rsid w:val="7BB30BBC"/>
    <w:rsid w:val="7CE0137A"/>
    <w:rsid w:val="7CFA3FCF"/>
    <w:rsid w:val="7EA9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7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after="260" w:line="413" w:lineRule="auto"/>
      <w:jc w:val="center"/>
      <w:outlineLvl w:val="2"/>
    </w:pPr>
    <w:rPr>
      <w:b/>
      <w:sz w:val="44"/>
    </w:rPr>
  </w:style>
  <w:style w:type="paragraph" w:styleId="2">
    <w:name w:val="heading 4"/>
    <w:basedOn w:val="1"/>
    <w:next w:val="1"/>
    <w:qFormat/>
    <w:uiPriority w:val="0"/>
    <w:pPr>
      <w:keepNext/>
      <w:keepLines/>
      <w:tabs>
        <w:tab w:val="left" w:pos="720"/>
      </w:tabs>
      <w:spacing w:before="560" w:after="290" w:line="377" w:lineRule="auto"/>
      <w:ind w:left="420" w:hanging="420"/>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7">
    <w:name w:val="Default Paragraph Font"/>
    <w:semiHidden/>
    <w:unhideWhenUsed/>
    <w:qFormat/>
    <w:uiPriority w:val="1"/>
  </w:style>
  <w:style w:type="table" w:default="1" w:styleId="6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annotation subject"/>
    <w:basedOn w:val="13"/>
    <w:next w:val="13"/>
    <w:qFormat/>
    <w:uiPriority w:val="0"/>
    <w:pPr>
      <w:widowControl w:val="0"/>
      <w:tabs>
        <w:tab w:val="left" w:pos="1134"/>
      </w:tabs>
      <w:adjustRightInd/>
      <w:snapToGrid/>
      <w:spacing w:line="240" w:lineRule="auto"/>
    </w:pPr>
    <w:rPr>
      <w:rFonts w:eastAsia="宋体"/>
      <w:b/>
      <w:kern w:val="2"/>
      <w:sz w:val="21"/>
      <w:lang w:eastAsia="zh-CN"/>
    </w:rPr>
  </w:style>
  <w:style w:type="paragraph" w:styleId="13">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14">
    <w:name w:val="toc 7"/>
    <w:basedOn w:val="1"/>
    <w:next w:val="1"/>
    <w:qFormat/>
    <w:uiPriority w:val="0"/>
    <w:pPr>
      <w:ind w:left="2520" w:leftChars="1200"/>
    </w:pPr>
  </w:style>
  <w:style w:type="paragraph" w:styleId="15">
    <w:name w:val="Body Text First Indent"/>
    <w:basedOn w:val="1"/>
    <w:qFormat/>
    <w:uiPriority w:val="0"/>
    <w:pPr>
      <w:spacing w:line="360" w:lineRule="auto"/>
      <w:ind w:firstLine="420"/>
    </w:pPr>
    <w:rPr>
      <w:rFonts w:ascii="宋体" w:hAnsi="宋体"/>
      <w:sz w:val="24"/>
    </w:rPr>
  </w:style>
  <w:style w:type="paragraph" w:styleId="16">
    <w:name w:val="List Number 2"/>
    <w:basedOn w:val="1"/>
    <w:qFormat/>
    <w:uiPriority w:val="0"/>
    <w:pPr>
      <w:tabs>
        <w:tab w:val="left" w:pos="780"/>
      </w:tabs>
      <w:spacing w:line="360" w:lineRule="auto"/>
      <w:ind w:left="780" w:hanging="360"/>
    </w:pPr>
    <w:rPr>
      <w:sz w:val="24"/>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qFormat/>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w:basedOn w:val="1"/>
    <w:qFormat/>
    <w:uiPriority w:val="0"/>
    <w:rPr>
      <w:rFonts w:ascii="仿宋_GB2312" w:eastAsia="仿宋_GB2312"/>
      <w:sz w:val="32"/>
    </w:rPr>
  </w:style>
  <w:style w:type="paragraph" w:styleId="25">
    <w:name w:val="Body Text Indent"/>
    <w:basedOn w:val="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100" w:leftChars="200" w:hanging="200" w:hangingChars="200"/>
    </w:pPr>
    <w:rPr>
      <w:sz w:val="24"/>
    </w:rPr>
  </w:style>
  <w:style w:type="paragraph" w:styleId="28">
    <w:name w:val="List Continue"/>
    <w:basedOn w:val="1"/>
    <w:uiPriority w:val="0"/>
    <w:pPr>
      <w:adjustRightInd w:val="0"/>
      <w:snapToGrid w:val="0"/>
      <w:spacing w:after="120" w:line="360" w:lineRule="auto"/>
      <w:ind w:left="420" w:leftChars="200"/>
    </w:pPr>
    <w:rPr>
      <w:sz w:val="24"/>
    </w:rPr>
  </w:style>
  <w:style w:type="paragraph" w:styleId="29">
    <w:name w:val="List Bullet 2"/>
    <w:basedOn w:val="1"/>
    <w:qFormat/>
    <w:uiPriority w:val="0"/>
    <w:pPr>
      <w:tabs>
        <w:tab w:val="left" w:pos="780"/>
      </w:tabs>
      <w:adjustRightInd w:val="0"/>
      <w:snapToGrid w:val="0"/>
      <w:spacing w:line="360" w:lineRule="auto"/>
      <w:ind w:left="780" w:hanging="360"/>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ind w:left="840" w:leftChars="400"/>
    </w:pPr>
  </w:style>
  <w:style w:type="paragraph" w:styleId="32">
    <w:name w:val="Plain Text"/>
    <w:basedOn w:val="1"/>
    <w:qFormat/>
    <w:uiPriority w:val="0"/>
    <w:pPr>
      <w:adjustRightInd w:val="0"/>
      <w:snapToGrid w:val="0"/>
      <w:spacing w:line="360" w:lineRule="auto"/>
    </w:pPr>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0"/>
    <w:qFormat/>
    <w:uiPriority w:val="0"/>
  </w:style>
  <w:style w:type="paragraph" w:styleId="35">
    <w:name w:val="Body Text Indent 2"/>
    <w:basedOn w:val="1"/>
    <w:qFormat/>
    <w:uiPriority w:val="0"/>
    <w:pPr>
      <w:snapToGrid w:val="0"/>
      <w:spacing w:line="440" w:lineRule="atLeast"/>
      <w:ind w:firstLine="570"/>
    </w:pPr>
    <w:rPr>
      <w:rFonts w:ascii="宋体"/>
    </w:r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Body Text First Indent 2"/>
    <w:basedOn w:val="25"/>
    <w:qFormat/>
    <w:uiPriority w:val="0"/>
    <w:pPr>
      <w:spacing w:after="120" w:line="240" w:lineRule="auto"/>
      <w:ind w:left="420" w:leftChars="200" w:firstLine="420" w:firstLineChars="200"/>
    </w:pPr>
    <w:rPr>
      <w:sz w:val="21"/>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tabs>
        <w:tab w:val="right" w:leader="dot" w:pos="8400"/>
      </w:tabs>
      <w:spacing w:line="440" w:lineRule="exact"/>
      <w:ind w:left="280" w:leftChars="100" w:right="-91" w:rightChars="-91"/>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character" w:styleId="58">
    <w:name w:val="Strong"/>
    <w:qFormat/>
    <w:uiPriority w:val="22"/>
    <w:rPr>
      <w:b/>
    </w:rPr>
  </w:style>
  <w:style w:type="character" w:styleId="59">
    <w:name w:val="page number"/>
    <w:basedOn w:val="57"/>
    <w:qFormat/>
    <w:uiPriority w:val="0"/>
  </w:style>
  <w:style w:type="character" w:styleId="60">
    <w:name w:val="FollowedHyperlink"/>
    <w:qFormat/>
    <w:uiPriority w:val="0"/>
    <w:rPr>
      <w:color w:val="800080"/>
      <w:u w:val="single"/>
    </w:rPr>
  </w:style>
  <w:style w:type="character" w:styleId="61">
    <w:name w:val="Emphasis"/>
    <w:qFormat/>
    <w:uiPriority w:val="0"/>
    <w:rPr>
      <w:i/>
    </w:rPr>
  </w:style>
  <w:style w:type="character" w:styleId="62">
    <w:name w:val="Hyperlink"/>
    <w:qFormat/>
    <w:uiPriority w:val="99"/>
    <w:rPr>
      <w:color w:val="0000FF"/>
      <w:u w:val="single"/>
    </w:rPr>
  </w:style>
  <w:style w:type="character" w:styleId="63">
    <w:name w:val="annotation reference"/>
    <w:qFormat/>
    <w:uiPriority w:val="0"/>
    <w:rPr>
      <w:sz w:val="21"/>
    </w:rPr>
  </w:style>
  <w:style w:type="character" w:styleId="64">
    <w:name w:val="footnote reference"/>
    <w:qFormat/>
    <w:uiPriority w:val="0"/>
    <w:rPr>
      <w:position w:val="6"/>
      <w:sz w:val="14"/>
      <w:vertAlign w:val="superscript"/>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7">
    <w:name w:val="Char Char7"/>
    <w:qFormat/>
    <w:uiPriority w:val="0"/>
    <w:rPr>
      <w:rFonts w:ascii="宋体" w:hAnsi="宋体" w:eastAsia="宋体"/>
      <w:kern w:val="2"/>
      <w:sz w:val="28"/>
    </w:rPr>
  </w:style>
  <w:style w:type="character" w:customStyle="1" w:styleId="68">
    <w:name w:val="Table Text Char1 Char"/>
    <w:qFormat/>
    <w:uiPriority w:val="0"/>
    <w:rPr>
      <w:rFonts w:ascii="Arial" w:hAnsi="Arial"/>
      <w:kern w:val="2"/>
      <w:sz w:val="18"/>
      <w:lang w:val="en-US" w:eastAsia="zh-CN" w:bidi="ar-SA"/>
    </w:rPr>
  </w:style>
  <w:style w:type="character" w:customStyle="1" w:styleId="69">
    <w:name w:val="小 Char"/>
    <w:qFormat/>
    <w:uiPriority w:val="0"/>
    <w:rPr>
      <w:rFonts w:ascii="宋体" w:hAnsi="Courier New" w:eastAsia="宋体"/>
      <w:kern w:val="2"/>
      <w:sz w:val="21"/>
      <w:lang w:val="en-US" w:eastAsia="zh-CN" w:bidi="ar-SA"/>
    </w:rPr>
  </w:style>
  <w:style w:type="character" w:customStyle="1" w:styleId="70">
    <w:name w:val="日期 Char"/>
    <w:link w:val="34"/>
    <w:qFormat/>
    <w:uiPriority w:val="0"/>
    <w:rPr>
      <w:kern w:val="2"/>
      <w:sz w:val="28"/>
    </w:rPr>
  </w:style>
  <w:style w:type="character" w:customStyle="1" w:styleId="71">
    <w:name w:val="标题 2 Char"/>
    <w:link w:val="4"/>
    <w:qFormat/>
    <w:uiPriority w:val="0"/>
    <w:rPr>
      <w:rFonts w:ascii="宋体" w:hAnsi="宋体"/>
      <w:kern w:val="2"/>
      <w:sz w:val="28"/>
    </w:rPr>
  </w:style>
  <w:style w:type="character" w:customStyle="1" w:styleId="72">
    <w:name w:val="v151"/>
    <w:qFormat/>
    <w:uiPriority w:val="0"/>
    <w:rPr>
      <w:sz w:val="18"/>
    </w:rPr>
  </w:style>
  <w:style w:type="character" w:customStyle="1" w:styleId="73">
    <w:name w:val="Char Char5"/>
    <w:qFormat/>
    <w:uiPriority w:val="0"/>
    <w:rPr>
      <w:rFonts w:ascii="Arial" w:hAnsi="Arial" w:eastAsia="宋体"/>
      <w:b/>
      <w:smallCaps/>
      <w:kern w:val="28"/>
      <w:sz w:val="36"/>
      <w:lang w:val="en-US" w:eastAsia="en-US"/>
    </w:rPr>
  </w:style>
  <w:style w:type="character" w:customStyle="1" w:styleId="74">
    <w:name w:val="Char Char2"/>
    <w:qFormat/>
    <w:uiPriority w:val="0"/>
    <w:rPr>
      <w:rFonts w:eastAsia="宋体"/>
      <w:kern w:val="2"/>
      <w:sz w:val="18"/>
      <w:lang w:val="en-US" w:eastAsia="zh-CN"/>
    </w:rPr>
  </w:style>
  <w:style w:type="character" w:customStyle="1" w:styleId="75">
    <w:name w:val="content-white1"/>
    <w:qFormat/>
    <w:uiPriority w:val="0"/>
    <w:rPr>
      <w:color w:val="auto"/>
      <w:sz w:val="18"/>
      <w:u w:val="none"/>
    </w:rPr>
  </w:style>
  <w:style w:type="character" w:customStyle="1" w:styleId="76">
    <w:name w:val="top-det1"/>
    <w:qFormat/>
    <w:uiPriority w:val="0"/>
    <w:rPr>
      <w:b/>
      <w:color w:val="000000"/>
    </w:rPr>
  </w:style>
  <w:style w:type="character" w:customStyle="1" w:styleId="77">
    <w:name w:val="crowed11"/>
    <w:qFormat/>
    <w:uiPriority w:val="0"/>
    <w:rPr>
      <w:rFonts w:hint="default"/>
      <w:sz w:val="24"/>
    </w:rPr>
  </w:style>
  <w:style w:type="character" w:customStyle="1" w:styleId="78">
    <w:name w:val="Table Text Char Char Char Char"/>
    <w:qFormat/>
    <w:uiPriority w:val="0"/>
    <w:rPr>
      <w:rFonts w:ascii="Arial" w:hAnsi="Arial"/>
      <w:kern w:val="2"/>
      <w:sz w:val="18"/>
      <w:lang w:val="en-US" w:eastAsia="zh-CN" w:bidi="ar-SA"/>
    </w:rPr>
  </w:style>
  <w:style w:type="character" w:customStyle="1" w:styleId="79">
    <w:name w:val="Char Char6"/>
    <w:qFormat/>
    <w:uiPriority w:val="0"/>
    <w:rPr>
      <w:rFonts w:ascii="仿宋_GB2312" w:eastAsia="仿宋_GB2312"/>
      <w:kern w:val="2"/>
      <w:sz w:val="32"/>
    </w:rPr>
  </w:style>
  <w:style w:type="character" w:customStyle="1" w:styleId="80">
    <w:name w:val="Char Char4"/>
    <w:qFormat/>
    <w:uiPriority w:val="0"/>
    <w:rPr>
      <w:rFonts w:eastAsia="宋体"/>
      <w:b/>
      <w:kern w:val="2"/>
      <w:sz w:val="21"/>
      <w:lang w:val="en-US" w:eastAsia="zh-CN"/>
    </w:rPr>
  </w:style>
  <w:style w:type="character" w:customStyle="1" w:styleId="81">
    <w:name w:val="文字 Char"/>
    <w:link w:val="82"/>
    <w:qFormat/>
    <w:uiPriority w:val="0"/>
    <w:rPr>
      <w:rFonts w:ascii="宋体" w:eastAsia="宋体"/>
      <w:kern w:val="2"/>
      <w:sz w:val="28"/>
      <w:lang w:val="en-US" w:eastAsia="zh-CN" w:bidi="ar-SA"/>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正文 + 三号 Char"/>
    <w:qFormat/>
    <w:uiPriority w:val="0"/>
    <w:rPr>
      <w:rFonts w:eastAsia="宋体"/>
      <w:kern w:val="2"/>
      <w:sz w:val="21"/>
      <w:lang w:val="en-US" w:eastAsia="zh-CN"/>
    </w:rPr>
  </w:style>
  <w:style w:type="character" w:customStyle="1" w:styleId="84">
    <w:name w:val="未命名11"/>
    <w:qFormat/>
    <w:uiPriority w:val="0"/>
    <w:rPr>
      <w:color w:val="77FFFF"/>
      <w:sz w:val="24"/>
    </w:rPr>
  </w:style>
  <w:style w:type="character" w:customStyle="1" w:styleId="85">
    <w:name w:val="font1"/>
    <w:qFormat/>
    <w:uiPriority w:val="0"/>
    <w:rPr>
      <w:color w:val="000000"/>
      <w:sz w:val="18"/>
    </w:rPr>
  </w:style>
  <w:style w:type="character" w:customStyle="1" w:styleId="86">
    <w:name w:val="Table Text Char"/>
    <w:qFormat/>
    <w:uiPriority w:val="0"/>
    <w:rPr>
      <w:rFonts w:ascii="Arial" w:hAnsi="Arial"/>
      <w:kern w:val="2"/>
      <w:sz w:val="18"/>
      <w:lang w:val="en-US" w:eastAsia="zh-CN" w:bidi="ar-SA"/>
    </w:rPr>
  </w:style>
  <w:style w:type="character" w:customStyle="1" w:styleId="87">
    <w:name w:val="标书正文:  0.74 厘米 Char1"/>
    <w:qFormat/>
    <w:uiPriority w:val="0"/>
    <w:rPr>
      <w:rFonts w:eastAsia="宋体"/>
      <w:kern w:val="2"/>
      <w:sz w:val="24"/>
      <w:lang w:val="en-US" w:eastAsia="zh-CN"/>
    </w:rPr>
  </w:style>
  <w:style w:type="character" w:customStyle="1" w:styleId="88">
    <w:name w:val="Char Char3"/>
    <w:qFormat/>
    <w:uiPriority w:val="0"/>
    <w:rPr>
      <w:rFonts w:eastAsia="宋体"/>
      <w:kern w:val="2"/>
      <w:sz w:val="18"/>
      <w:lang w:val="en-US" w:eastAsia="zh-CN"/>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样式 宋体"/>
    <w:qFormat/>
    <w:uiPriority w:val="0"/>
    <w:rPr>
      <w:rFonts w:ascii="宋体" w:hAnsi="宋体" w:eastAsia="宋体"/>
      <w:sz w:val="28"/>
    </w:rPr>
  </w:style>
  <w:style w:type="paragraph" w:customStyle="1" w:styleId="92">
    <w:name w:val="表头样式"/>
    <w:basedOn w:val="1"/>
    <w:qFormat/>
    <w:uiPriority w:val="0"/>
    <w:pPr>
      <w:autoSpaceDE w:val="0"/>
      <w:autoSpaceDN w:val="0"/>
      <w:adjustRightInd w:val="0"/>
      <w:spacing w:line="360" w:lineRule="auto"/>
      <w:jc w:val="left"/>
    </w:pPr>
    <w:rPr>
      <w:b/>
      <w:kern w:val="0"/>
      <w:sz w:val="21"/>
    </w:rPr>
  </w:style>
  <w:style w:type="paragraph" w:customStyle="1" w:styleId="9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9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95">
    <w:name w:val="列表项目"/>
    <w:basedOn w:val="1"/>
    <w:qFormat/>
    <w:uiPriority w:val="0"/>
    <w:pPr>
      <w:tabs>
        <w:tab w:val="left" w:pos="420"/>
      </w:tabs>
      <w:spacing w:line="288" w:lineRule="auto"/>
      <w:ind w:left="840" w:leftChars="200" w:hanging="420" w:hangingChars="200"/>
    </w:pPr>
    <w:rPr>
      <w:sz w:val="21"/>
    </w:rPr>
  </w:style>
  <w:style w:type="paragraph" w:customStyle="1" w:styleId="9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97">
    <w:name w:val="样式2"/>
    <w:basedOn w:val="2"/>
    <w:qFormat/>
    <w:uiPriority w:val="0"/>
    <w:pPr>
      <w:spacing w:line="400" w:lineRule="exact"/>
      <w:jc w:val="center"/>
      <w:outlineLvl w:val="0"/>
    </w:pPr>
    <w:rPr>
      <w:b w:val="0"/>
      <w:sz w:val="44"/>
    </w:rPr>
  </w:style>
  <w:style w:type="paragraph" w:customStyle="1" w:styleId="9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99">
    <w:name w:val="表格文本"/>
    <w:qFormat/>
    <w:uiPriority w:val="0"/>
    <w:pPr>
      <w:tabs>
        <w:tab w:val="decimal" w:pos="0"/>
      </w:tabs>
    </w:pPr>
    <w:rPr>
      <w:rFonts w:ascii="Arial" w:hAnsi="Arial" w:eastAsia="宋体" w:cs="Times New Roman"/>
      <w:sz w:val="21"/>
      <w:lang w:val="en-US" w:eastAsia="zh-CN" w:bidi="ar-SA"/>
    </w:rPr>
  </w:style>
  <w:style w:type="paragraph" w:customStyle="1" w:styleId="100">
    <w:name w:val="简单回函地址"/>
    <w:basedOn w:val="1"/>
    <w:qFormat/>
    <w:uiPriority w:val="0"/>
    <w:pPr>
      <w:adjustRightInd w:val="0"/>
      <w:snapToGrid w:val="0"/>
      <w:spacing w:line="360" w:lineRule="auto"/>
    </w:pPr>
    <w:rPr>
      <w:sz w:val="24"/>
    </w:rPr>
  </w:style>
  <w:style w:type="paragraph" w:customStyle="1" w:styleId="10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0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3">
    <w:name w:val="摘要"/>
    <w:basedOn w:val="1"/>
    <w:next w:val="4"/>
    <w:qFormat/>
    <w:uiPriority w:val="0"/>
    <w:pPr>
      <w:spacing w:line="360" w:lineRule="auto"/>
    </w:pPr>
    <w:rPr>
      <w:rFonts w:eastAsia="黑体"/>
      <w:sz w:val="20"/>
    </w:rPr>
  </w:style>
  <w:style w:type="paragraph" w:customStyle="1" w:styleId="104">
    <w:name w:val="表头文本"/>
    <w:qFormat/>
    <w:uiPriority w:val="0"/>
    <w:pPr>
      <w:jc w:val="center"/>
    </w:pPr>
    <w:rPr>
      <w:rFonts w:ascii="Arial" w:hAnsi="Arial" w:eastAsia="宋体" w:cs="Times New Roman"/>
      <w:b/>
      <w:sz w:val="21"/>
      <w:lang w:val="en-US" w:eastAsia="zh-CN" w:bidi="ar-SA"/>
    </w:rPr>
  </w:style>
  <w:style w:type="paragraph" w:customStyle="1" w:styleId="10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0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07">
    <w:name w:val="表格内文字"/>
    <w:basedOn w:val="32"/>
    <w:qFormat/>
    <w:uiPriority w:val="0"/>
    <w:pPr>
      <w:snapToGrid/>
      <w:spacing w:line="240" w:lineRule="auto"/>
    </w:pPr>
    <w:rPr>
      <w:color w:val="000000"/>
      <w:lang w:val="en-GB"/>
    </w:rPr>
  </w:style>
  <w:style w:type="paragraph" w:customStyle="1" w:styleId="10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itle - Date"/>
    <w:basedOn w:val="56"/>
    <w:next w:val="1"/>
    <w:qFormat/>
    <w:uiPriority w:val="0"/>
    <w:pPr>
      <w:spacing w:before="240" w:after="720"/>
    </w:pPr>
    <w:rPr>
      <w:sz w:val="28"/>
    </w:rPr>
  </w:style>
  <w:style w:type="paragraph" w:customStyle="1" w:styleId="110">
    <w:name w:val="Revision"/>
    <w:qFormat/>
    <w:uiPriority w:val="0"/>
    <w:rPr>
      <w:rFonts w:ascii="Times New Roman" w:hAnsi="Times New Roman" w:eastAsia="宋体" w:cs="Times New Roman"/>
      <w:kern w:val="2"/>
      <w:sz w:val="21"/>
      <w:lang w:val="en-US" w:eastAsia="zh-CN" w:bidi="ar-SA"/>
    </w:rPr>
  </w:style>
  <w:style w:type="paragraph" w:customStyle="1" w:styleId="11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2">
    <w:name w:val="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13">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14">
    <w:name w:val="Char"/>
    <w:basedOn w:val="1"/>
    <w:qFormat/>
    <w:uiPriority w:val="0"/>
    <w:pPr>
      <w:spacing w:line="240" w:lineRule="atLeast"/>
      <w:ind w:left="420" w:firstLine="420"/>
    </w:pPr>
    <w:rPr>
      <w:kern w:val="0"/>
      <w:sz w:val="21"/>
    </w:rPr>
  </w:style>
  <w:style w:type="paragraph" w:customStyle="1" w:styleId="1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1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1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18">
    <w:name w:val="可研正文"/>
    <w:basedOn w:val="24"/>
    <w:qFormat/>
    <w:uiPriority w:val="0"/>
    <w:pPr>
      <w:adjustRightInd w:val="0"/>
      <w:snapToGrid w:val="0"/>
      <w:spacing w:line="440" w:lineRule="exact"/>
      <w:ind w:firstLine="567"/>
    </w:pPr>
    <w:rPr>
      <w:sz w:val="28"/>
    </w:rPr>
  </w:style>
  <w:style w:type="paragraph" w:customStyle="1" w:styleId="119">
    <w:name w:val="Char2"/>
    <w:basedOn w:val="1"/>
    <w:qFormat/>
    <w:uiPriority w:val="0"/>
    <w:pPr>
      <w:widowControl/>
      <w:spacing w:line="400" w:lineRule="exact"/>
      <w:jc w:val="center"/>
    </w:pPr>
    <w:rPr>
      <w:sz w:val="24"/>
    </w:rPr>
  </w:style>
  <w:style w:type="paragraph" w:customStyle="1" w:styleId="12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1">
    <w:name w:val="样式 标题 6第五层条 + 三号 段前: 0.5 行"/>
    <w:basedOn w:val="7"/>
    <w:qFormat/>
    <w:uiPriority w:val="0"/>
    <w:pPr>
      <w:widowControl/>
      <w:adjustRightInd/>
      <w:snapToGrid/>
      <w:spacing w:beforeLines="50"/>
      <w:ind w:left="1152" w:hanging="1152"/>
      <w:jc w:val="left"/>
    </w:pPr>
    <w:rPr>
      <w:snapToGrid w:val="0"/>
      <w:kern w:val="24"/>
      <w:sz w:val="28"/>
    </w:rPr>
  </w:style>
  <w:style w:type="paragraph" w:customStyle="1" w:styleId="122">
    <w:name w:val="正文4"/>
    <w:basedOn w:val="1"/>
    <w:qFormat/>
    <w:uiPriority w:val="0"/>
    <w:pPr>
      <w:tabs>
        <w:tab w:val="left" w:pos="1275"/>
      </w:tabs>
      <w:spacing w:before="60" w:after="60" w:line="360" w:lineRule="auto"/>
      <w:ind w:left="820" w:leftChars="400" w:hanging="705"/>
    </w:pPr>
    <w:rPr>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4">
    <w:name w:val="1"/>
    <w:basedOn w:val="1"/>
    <w:qFormat/>
    <w:uiPriority w:val="0"/>
    <w:rPr>
      <w:rFonts w:ascii="Tahoma" w:hAnsi="Tahoma"/>
      <w:sz w:val="24"/>
    </w:rPr>
  </w:style>
  <w:style w:type="paragraph" w:customStyle="1" w:styleId="125">
    <w:name w:val="标题2"/>
    <w:basedOn w:val="4"/>
    <w:qFormat/>
    <w:uiPriority w:val="0"/>
    <w:pPr>
      <w:keepNext w:val="0"/>
      <w:keepLines w:val="0"/>
      <w:ind w:firstLine="574" w:firstLineChars="196"/>
      <w:outlineLvl w:val="9"/>
    </w:pPr>
    <w:rPr>
      <w:b/>
      <w:spacing w:val="6"/>
      <w:u w:val="single"/>
    </w:rPr>
  </w:style>
  <w:style w:type="paragraph" w:customStyle="1" w:styleId="126">
    <w:name w:val="Char Char Char Char Char Char Char1"/>
    <w:basedOn w:val="20"/>
    <w:qFormat/>
    <w:uiPriority w:val="0"/>
    <w:rPr>
      <w:rFonts w:ascii="宋体" w:hAnsi="Tahoma"/>
    </w:rPr>
  </w:style>
  <w:style w:type="paragraph" w:customStyle="1" w:styleId="127">
    <w:name w:val="WPSOffice手动目录 1"/>
    <w:qFormat/>
    <w:uiPriority w:val="0"/>
    <w:rPr>
      <w:rFonts w:ascii="Times New Roman" w:hAnsi="Times New Roman" w:eastAsia="宋体" w:cs="Times New Roman"/>
      <w:lang w:val="en-US" w:eastAsia="zh-CN" w:bidi="ar-SA"/>
    </w:rPr>
  </w:style>
  <w:style w:type="paragraph" w:customStyle="1" w:styleId="128">
    <w:name w:val="正文（首行不缩进）"/>
    <w:basedOn w:val="1"/>
    <w:qFormat/>
    <w:uiPriority w:val="0"/>
    <w:pPr>
      <w:autoSpaceDE w:val="0"/>
      <w:autoSpaceDN w:val="0"/>
      <w:adjustRightInd w:val="0"/>
      <w:spacing w:line="360" w:lineRule="auto"/>
      <w:jc w:val="left"/>
    </w:pPr>
    <w:rPr>
      <w:kern w:val="0"/>
      <w:sz w:val="21"/>
    </w:rPr>
  </w:style>
  <w:style w:type="paragraph" w:customStyle="1" w:styleId="12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0">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3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32">
    <w:name w:val="1.正文"/>
    <w:basedOn w:val="1"/>
    <w:qFormat/>
    <w:uiPriority w:val="0"/>
    <w:pPr>
      <w:spacing w:line="360" w:lineRule="auto"/>
      <w:ind w:left="540" w:leftChars="225" w:firstLine="540" w:firstLineChars="225"/>
    </w:pPr>
    <w:rPr>
      <w:sz w:val="24"/>
    </w:rPr>
  </w:style>
  <w:style w:type="paragraph" w:customStyle="1" w:styleId="133">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34">
    <w:name w:val="样式 行距: 1.5 倍行距1"/>
    <w:basedOn w:val="1"/>
    <w:qFormat/>
    <w:uiPriority w:val="0"/>
    <w:pPr>
      <w:snapToGrid w:val="0"/>
    </w:pPr>
    <w:rPr>
      <w:sz w:val="21"/>
    </w:rPr>
  </w:style>
  <w:style w:type="paragraph" w:customStyle="1" w:styleId="135">
    <w:name w:val="标书正文:  0.74 厘米"/>
    <w:basedOn w:val="1"/>
    <w:qFormat/>
    <w:uiPriority w:val="0"/>
    <w:pPr>
      <w:snapToGrid w:val="0"/>
      <w:spacing w:line="360" w:lineRule="auto"/>
      <w:ind w:firstLine="420"/>
    </w:pPr>
    <w:rPr>
      <w:sz w:val="24"/>
    </w:rPr>
  </w:style>
  <w:style w:type="paragraph" w:customStyle="1" w:styleId="136">
    <w:name w:val="默认段落字体 Para Char Char Char Char Char Char Char Char Char1 Char Char Char Char"/>
    <w:basedOn w:val="1"/>
    <w:uiPriority w:val="0"/>
    <w:rPr>
      <w:rFonts w:ascii="Tahoma" w:hAnsi="Tahoma"/>
      <w:sz w:val="24"/>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关键词"/>
    <w:basedOn w:val="1"/>
    <w:next w:val="1"/>
    <w:qFormat/>
    <w:uiPriority w:val="0"/>
    <w:pPr>
      <w:spacing w:line="360" w:lineRule="auto"/>
    </w:pPr>
    <w:rPr>
      <w:rFonts w:eastAsia="黑体"/>
      <w:sz w:val="20"/>
    </w:rPr>
  </w:style>
  <w:style w:type="paragraph" w:customStyle="1" w:styleId="13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标准正文"/>
    <w:basedOn w:val="25"/>
    <w:qFormat/>
    <w:uiPriority w:val="0"/>
    <w:pPr>
      <w:spacing w:before="60" w:after="60" w:line="360" w:lineRule="auto"/>
      <w:ind w:left="0" w:firstLine="482"/>
    </w:pPr>
    <w:rPr>
      <w:rFonts w:ascii="Arial" w:hAnsi="Arial"/>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文本1"/>
    <w:basedOn w:val="1"/>
    <w:qFormat/>
    <w:uiPriority w:val="0"/>
    <w:pPr>
      <w:adjustRightInd w:val="0"/>
      <w:spacing w:line="312" w:lineRule="atLeast"/>
      <w:jc w:val="center"/>
      <w:textAlignment w:val="baseline"/>
    </w:pPr>
    <w:rPr>
      <w:kern w:val="0"/>
      <w:sz w:val="18"/>
    </w:rPr>
  </w:style>
  <w:style w:type="paragraph" w:customStyle="1" w:styleId="145">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4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7">
    <w:name w:val="标题3——2"/>
    <w:basedOn w:val="5"/>
    <w:next w:val="15"/>
    <w:qFormat/>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48">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49">
    <w:name w:val="正文 + 三号"/>
    <w:basedOn w:val="1"/>
    <w:qFormat/>
    <w:uiPriority w:val="0"/>
    <w:rPr>
      <w:sz w:val="21"/>
    </w:rPr>
  </w:style>
  <w:style w:type="paragraph" w:customStyle="1" w:styleId="150">
    <w:name w:val="样式 样式 首行缩进:  2 字符 + 首行缩进:  2 字符"/>
    <w:basedOn w:val="1"/>
    <w:qFormat/>
    <w:uiPriority w:val="0"/>
    <w:pPr>
      <w:spacing w:line="360" w:lineRule="auto"/>
      <w:ind w:firstLine="480" w:firstLineChars="200"/>
    </w:pPr>
    <w:rPr>
      <w:sz w:val="24"/>
    </w:rPr>
  </w:style>
  <w:style w:type="paragraph" w:customStyle="1" w:styleId="151">
    <w:name w:val="正文文本 21"/>
    <w:basedOn w:val="1"/>
    <w:qFormat/>
    <w:uiPriority w:val="0"/>
    <w:pPr>
      <w:adjustRightInd w:val="0"/>
      <w:spacing w:before="120" w:line="360" w:lineRule="auto"/>
      <w:ind w:firstLine="480"/>
      <w:textAlignment w:val="baseline"/>
    </w:pPr>
    <w:rPr>
      <w:sz w:val="24"/>
    </w:rPr>
  </w:style>
  <w:style w:type="paragraph" w:customStyle="1" w:styleId="152">
    <w:name w:val="样式1"/>
    <w:basedOn w:val="2"/>
    <w:qFormat/>
    <w:uiPriority w:val="0"/>
    <w:pPr>
      <w:spacing w:before="500" w:after="260" w:line="560" w:lineRule="atLeast"/>
    </w:pPr>
  </w:style>
  <w:style w:type="paragraph" w:customStyle="1" w:styleId="15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54">
    <w:name w:val="没有缩进（为图形使用）"/>
    <w:basedOn w:val="1"/>
    <w:qFormat/>
    <w:uiPriority w:val="0"/>
    <w:pPr>
      <w:spacing w:before="120" w:after="120" w:line="360" w:lineRule="auto"/>
    </w:pPr>
    <w:rPr>
      <w:sz w:val="24"/>
    </w:rPr>
  </w:style>
  <w:style w:type="paragraph" w:customStyle="1" w:styleId="155">
    <w:name w:val="默认段落字体 Para Char Char Char Char Char Char Char"/>
    <w:basedOn w:val="1"/>
    <w:qFormat/>
    <w:uiPriority w:val="0"/>
    <w:rPr>
      <w:rFonts w:ascii="Tahoma" w:hAnsi="Tahoma"/>
      <w:sz w:val="24"/>
    </w:rPr>
  </w:style>
  <w:style w:type="paragraph" w:customStyle="1" w:styleId="156">
    <w:name w:val="Table Contents"/>
    <w:basedOn w:val="24"/>
    <w:qFormat/>
    <w:uiPriority w:val="0"/>
    <w:pPr>
      <w:suppressAutoHyphens/>
      <w:jc w:val="left"/>
    </w:pPr>
    <w:rPr>
      <w:rFonts w:ascii="Times New Roman" w:eastAsia="Times New Roman"/>
      <w:kern w:val="0"/>
      <w:sz w:val="24"/>
    </w:rPr>
  </w:style>
  <w:style w:type="paragraph" w:customStyle="1" w:styleId="157">
    <w:name w:val="编号正文"/>
    <w:basedOn w:val="158"/>
    <w:qFormat/>
    <w:uiPriority w:val="0"/>
    <w:pPr>
      <w:snapToGrid/>
      <w:spacing w:line="360" w:lineRule="auto"/>
      <w:ind w:left="1407" w:hanging="1047"/>
      <w:jc w:val="left"/>
    </w:pPr>
    <w:rPr>
      <w:rFonts w:eastAsia="仿宋_GB2312"/>
    </w:rPr>
  </w:style>
  <w:style w:type="paragraph" w:customStyle="1" w:styleId="158">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59">
    <w:name w:val="二级列表"/>
    <w:basedOn w:val="160"/>
    <w:next w:val="160"/>
    <w:qFormat/>
    <w:uiPriority w:val="0"/>
    <w:pPr>
      <w:tabs>
        <w:tab w:val="left" w:pos="2120"/>
      </w:tabs>
      <w:ind w:firstLine="0" w:firstLineChars="0"/>
    </w:pPr>
    <w:rPr>
      <w:b/>
    </w:rPr>
  </w:style>
  <w:style w:type="paragraph" w:customStyle="1" w:styleId="160">
    <w:name w:val="段落正文"/>
    <w:basedOn w:val="1"/>
    <w:qFormat/>
    <w:uiPriority w:val="0"/>
    <w:pPr>
      <w:spacing w:beforeLines="50" w:line="360" w:lineRule="auto"/>
      <w:ind w:firstLine="200" w:firstLineChars="200"/>
    </w:pPr>
    <w:rPr>
      <w:spacing w:val="2"/>
      <w:sz w:val="24"/>
    </w:rPr>
  </w:style>
  <w:style w:type="paragraph" w:customStyle="1" w:styleId="161">
    <w:name w:val="图片文字"/>
    <w:basedOn w:val="1"/>
    <w:qFormat/>
    <w:uiPriority w:val="0"/>
    <w:pPr>
      <w:spacing w:line="240" w:lineRule="atLeast"/>
      <w:jc w:val="center"/>
    </w:pPr>
    <w:rPr>
      <w:sz w:val="21"/>
    </w:rPr>
  </w:style>
  <w:style w:type="paragraph" w:customStyle="1" w:styleId="162">
    <w:name w:val="首行缩进 1"/>
    <w:basedOn w:val="1"/>
    <w:qFormat/>
    <w:uiPriority w:val="0"/>
    <w:pPr>
      <w:spacing w:after="120" w:line="360" w:lineRule="auto"/>
      <w:ind w:firstLine="200" w:firstLineChars="200"/>
    </w:pPr>
    <w:rPr>
      <w:sz w:val="24"/>
    </w:rPr>
  </w:style>
  <w:style w:type="paragraph" w:customStyle="1" w:styleId="16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样式 标题 1 + 居中 段前: 6 磅 段后: 6 磅 行距: 1.5 倍行距"/>
    <w:basedOn w:val="3"/>
    <w:qFormat/>
    <w:uiPriority w:val="0"/>
    <w:pPr>
      <w:keepLines/>
      <w:tabs>
        <w:tab w:val="clear" w:pos="3360"/>
      </w:tabs>
      <w:adjustRightInd w:val="0"/>
      <w:spacing w:beforeLines="0" w:line="360" w:lineRule="auto"/>
    </w:pPr>
    <w:rPr>
      <w:rFonts w:eastAsia="宋体"/>
      <w:b/>
      <w:kern w:val="44"/>
      <w:sz w:val="32"/>
    </w:rPr>
  </w:style>
  <w:style w:type="paragraph" w:customStyle="1" w:styleId="16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6">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字元 字元 字元 Char Char Char Char"/>
    <w:basedOn w:val="1"/>
    <w:qFormat/>
    <w:uiPriority w:val="0"/>
    <w:pPr>
      <w:adjustRightInd w:val="0"/>
      <w:spacing w:line="360" w:lineRule="auto"/>
    </w:pPr>
    <w:rPr>
      <w:kern w:val="0"/>
      <w:sz w:val="24"/>
    </w:rPr>
  </w:style>
  <w:style w:type="paragraph" w:customStyle="1" w:styleId="168">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9">
    <w:name w:val="首行缩进"/>
    <w:basedOn w:val="1"/>
    <w:qFormat/>
    <w:uiPriority w:val="0"/>
    <w:pPr>
      <w:spacing w:line="360" w:lineRule="auto"/>
      <w:ind w:firstLine="420" w:firstLineChars="200"/>
    </w:pPr>
    <w:rPr>
      <w:sz w:val="21"/>
    </w:rPr>
  </w:style>
  <w:style w:type="paragraph" w:customStyle="1" w:styleId="170">
    <w:name w:val="图例"/>
    <w:basedOn w:val="1"/>
    <w:qFormat/>
    <w:uiPriority w:val="0"/>
    <w:pPr>
      <w:spacing w:before="120" w:after="120" w:line="360" w:lineRule="auto"/>
      <w:jc w:val="center"/>
    </w:pPr>
    <w:rPr>
      <w:rFonts w:eastAsia="仿宋_GB2312"/>
      <w:b/>
      <w:sz w:val="24"/>
    </w:rPr>
  </w:style>
  <w:style w:type="paragraph" w:customStyle="1" w:styleId="171">
    <w:name w:val="正文文本缩进 21"/>
    <w:basedOn w:val="1"/>
    <w:qFormat/>
    <w:uiPriority w:val="0"/>
    <w:pPr>
      <w:adjustRightInd w:val="0"/>
      <w:spacing w:before="120"/>
      <w:ind w:firstLine="420"/>
      <w:textAlignment w:val="baseline"/>
    </w:pPr>
    <w:rPr>
      <w:sz w:val="24"/>
    </w:rPr>
  </w:style>
  <w:style w:type="paragraph" w:customStyle="1" w:styleId="172">
    <w:name w:val="Style Heading 3h3Heading 3 - oldLevel 3 HeadH3level_3PIM 3se..."/>
    <w:basedOn w:val="5"/>
    <w:qFormat/>
    <w:uiPriority w:val="0"/>
    <w:pPr>
      <w:tabs>
        <w:tab w:val="left" w:pos="709"/>
      </w:tabs>
      <w:ind w:left="709" w:hanging="709"/>
      <w:jc w:val="both"/>
    </w:pPr>
    <w:rPr>
      <w:sz w:val="32"/>
    </w:rPr>
  </w:style>
  <w:style w:type="paragraph" w:customStyle="1" w:styleId="173">
    <w:name w:val="章标题"/>
    <w:next w:val="1"/>
    <w:qFormat/>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74">
    <w:name w:val="Char1 Char Char Char"/>
    <w:basedOn w:val="1"/>
    <w:qFormat/>
    <w:uiPriority w:val="0"/>
    <w:rPr>
      <w:rFonts w:ascii="Tahoma" w:hAnsi="Tahoma"/>
      <w:sz w:val="21"/>
    </w:rPr>
  </w:style>
  <w:style w:type="paragraph" w:customStyle="1" w:styleId="175">
    <w:name w:val="表文字"/>
    <w:qFormat/>
    <w:uiPriority w:val="0"/>
    <w:rPr>
      <w:rFonts w:ascii="宋体" w:hAnsi="Times New Roman" w:eastAsia="宋体" w:cs="Times New Roman"/>
      <w:kern w:val="2"/>
      <w:lang w:val="en-US" w:eastAsia="zh-CN" w:bidi="ar-SA"/>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正文1"/>
    <w:basedOn w:val="1"/>
    <w:qFormat/>
    <w:uiPriority w:val="0"/>
    <w:pPr>
      <w:spacing w:line="300" w:lineRule="auto"/>
      <w:ind w:firstLine="200" w:firstLineChars="200"/>
    </w:pPr>
    <w:rPr>
      <w:sz w:val="24"/>
    </w:rPr>
  </w:style>
  <w:style w:type="paragraph" w:customStyle="1" w:styleId="178">
    <w:name w:val="文章正文"/>
    <w:basedOn w:val="1"/>
    <w:qFormat/>
    <w:uiPriority w:val="0"/>
    <w:pPr>
      <w:ind w:firstLine="560" w:firstLineChars="200"/>
    </w:pPr>
    <w:rPr>
      <w:rFonts w:ascii="仿宋_GB2312" w:hAnsi="宋体" w:eastAsia="仿宋_GB2312"/>
      <w:color w:val="000000"/>
    </w:rPr>
  </w:style>
  <w:style w:type="paragraph" w:customStyle="1" w:styleId="179">
    <w:name w:val="内容标题"/>
    <w:basedOn w:val="20"/>
    <w:qFormat/>
    <w:uiPriority w:val="0"/>
    <w:rPr>
      <w:rFonts w:ascii="Tahoma" w:hAnsi="Tahoma"/>
      <w:sz w:val="24"/>
    </w:rPr>
  </w:style>
  <w:style w:type="paragraph" w:customStyle="1" w:styleId="180">
    <w:name w:val="Char1"/>
    <w:basedOn w:val="1"/>
    <w:qFormat/>
    <w:uiPriority w:val="0"/>
    <w:rPr>
      <w:sz w:val="21"/>
    </w:rPr>
  </w:style>
  <w:style w:type="paragraph" w:customStyle="1" w:styleId="181">
    <w:name w:val="正文字缩2字"/>
    <w:basedOn w:val="1"/>
    <w:qFormat/>
    <w:uiPriority w:val="0"/>
    <w:pPr>
      <w:spacing w:before="60" w:after="60" w:line="360" w:lineRule="auto"/>
      <w:ind w:left="200" w:leftChars="200" w:firstLine="200" w:firstLineChars="200"/>
    </w:pPr>
    <w:rPr>
      <w:sz w:val="24"/>
    </w:rPr>
  </w:style>
  <w:style w:type="paragraph" w:customStyle="1" w:styleId="182">
    <w:name w:val="Char Char Char"/>
    <w:basedOn w:val="1"/>
    <w:qFormat/>
    <w:uiPriority w:val="0"/>
    <w:rPr>
      <w:rFonts w:ascii="Tahoma" w:hAnsi="Tahoma"/>
      <w:sz w:val="24"/>
    </w:rPr>
  </w:style>
  <w:style w:type="paragraph" w:customStyle="1" w:styleId="183">
    <w:name w:val="样式 正文缩进正文（首行缩进两字）表正文正文非缩进特点标题4段1 + 首行缩进:  2 字符"/>
    <w:basedOn w:val="18"/>
    <w:qFormat/>
    <w:uiPriority w:val="0"/>
    <w:pPr>
      <w:ind w:firstLine="480" w:firstLineChars="200"/>
    </w:pPr>
  </w:style>
  <w:style w:type="paragraph" w:customStyle="1" w:styleId="18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5">
    <w:name w:val="标题无"/>
    <w:basedOn w:val="1"/>
    <w:qFormat/>
    <w:uiPriority w:val="0"/>
    <w:pPr>
      <w:spacing w:line="360" w:lineRule="auto"/>
    </w:pPr>
    <w:rPr>
      <w:sz w:val="24"/>
    </w:rPr>
  </w:style>
  <w:style w:type="paragraph" w:customStyle="1" w:styleId="186">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7">
    <w:name w:val="Note"/>
    <w:basedOn w:val="1"/>
    <w:qFormat/>
    <w:uiPriority w:val="0"/>
    <w:pPr>
      <w:pBdr>
        <w:top w:val="single" w:color="auto" w:sz="12" w:space="3"/>
        <w:bottom w:val="single" w:color="auto" w:sz="12" w:space="3"/>
      </w:pBdr>
      <w:spacing w:line="360" w:lineRule="auto"/>
    </w:pPr>
    <w:rPr>
      <w:sz w:val="24"/>
    </w:rPr>
  </w:style>
  <w:style w:type="paragraph" w:customStyle="1" w:styleId="188">
    <w:name w:val="IN Feature"/>
    <w:next w:val="12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9">
    <w:name w:val="Char1 Char Char Char1"/>
    <w:basedOn w:val="1"/>
    <w:qFormat/>
    <w:uiPriority w:val="0"/>
    <w:rPr>
      <w:rFonts w:ascii="Tahoma" w:hAnsi="Tahoma"/>
      <w:sz w:val="24"/>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Title - Revision"/>
    <w:basedOn w:val="56"/>
    <w:qFormat/>
    <w:uiPriority w:val="0"/>
    <w:pPr>
      <w:spacing w:before="720"/>
    </w:pPr>
  </w:style>
  <w:style w:type="paragraph" w:customStyle="1" w:styleId="192">
    <w:name w:val="附录3"/>
    <w:basedOn w:val="1"/>
    <w:next w:val="1"/>
    <w:qFormat/>
    <w:uiPriority w:val="0"/>
    <w:pPr>
      <w:tabs>
        <w:tab w:val="left" w:pos="851"/>
      </w:tabs>
      <w:ind w:left="425" w:hanging="425"/>
      <w:outlineLvl w:val="2"/>
    </w:pPr>
    <w:rPr>
      <w:rFonts w:eastAsia="黑体"/>
      <w:b/>
      <w:sz w:val="32"/>
    </w:rPr>
  </w:style>
  <w:style w:type="paragraph" w:customStyle="1" w:styleId="19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5">
    <w:name w:val="样式 首行缩进:  0.74 厘米"/>
    <w:basedOn w:val="1"/>
    <w:qFormat/>
    <w:uiPriority w:val="0"/>
    <w:pPr>
      <w:spacing w:line="360" w:lineRule="auto"/>
      <w:ind w:firstLine="420"/>
    </w:pPr>
    <w:rPr>
      <w:sz w:val="24"/>
    </w:rPr>
  </w:style>
  <w:style w:type="paragraph" w:customStyle="1" w:styleId="19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97">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8">
    <w:name w:val="样式4"/>
    <w:basedOn w:val="2"/>
    <w:qFormat/>
    <w:uiPriority w:val="0"/>
    <w:pPr>
      <w:adjustRightInd w:val="0"/>
      <w:snapToGrid w:val="0"/>
      <w:spacing w:before="280" w:line="372" w:lineRule="auto"/>
      <w:ind w:left="0" w:firstLine="0"/>
    </w:pPr>
  </w:style>
  <w:style w:type="paragraph" w:customStyle="1" w:styleId="199">
    <w:name w:val="文本框样式1"/>
    <w:basedOn w:val="1"/>
    <w:qFormat/>
    <w:uiPriority w:val="0"/>
    <w:pPr>
      <w:adjustRightInd w:val="0"/>
      <w:snapToGrid w:val="0"/>
      <w:spacing w:before="60" w:line="180" w:lineRule="exact"/>
      <w:jc w:val="center"/>
    </w:pPr>
    <w:rPr>
      <w:sz w:val="21"/>
    </w:rPr>
  </w:style>
  <w:style w:type="paragraph" w:customStyle="1" w:styleId="200">
    <w:name w:val="Char Char Char Char Char"/>
    <w:basedOn w:val="1"/>
    <w:qFormat/>
    <w:uiPriority w:val="0"/>
    <w:pPr>
      <w:tabs>
        <w:tab w:val="left" w:pos="425"/>
      </w:tabs>
      <w:ind w:left="425" w:hanging="425"/>
    </w:pPr>
    <w:rPr>
      <w:rFonts w:ascii="Tahoma" w:hAnsi="Tahoma"/>
      <w:sz w:val="24"/>
    </w:rPr>
  </w:style>
  <w:style w:type="paragraph" w:customStyle="1" w:styleId="201">
    <w:name w:val="CSS1级正文 Char"/>
    <w:basedOn w:val="24"/>
    <w:qFormat/>
    <w:uiPriority w:val="0"/>
    <w:pPr>
      <w:adjustRightInd w:val="0"/>
      <w:snapToGrid w:val="0"/>
      <w:spacing w:line="360" w:lineRule="auto"/>
      <w:ind w:firstLine="480"/>
    </w:pPr>
    <w:rPr>
      <w:rFonts w:ascii="Times New Roman" w:eastAsia="宋体"/>
      <w:sz w:val="24"/>
    </w:rPr>
  </w:style>
  <w:style w:type="paragraph" w:customStyle="1" w:styleId="20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4">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205">
    <w:name w:val="Char Char1 Char"/>
    <w:basedOn w:val="1"/>
    <w:qFormat/>
    <w:uiPriority w:val="0"/>
    <w:rPr>
      <w:rFonts w:ascii="Tahoma" w:hAnsi="Tahoma"/>
      <w:sz w:val="24"/>
      <w:szCs w:val="24"/>
    </w:rPr>
  </w:style>
  <w:style w:type="paragraph" w:customStyle="1" w:styleId="206">
    <w:name w:val="样式3"/>
    <w:basedOn w:val="3"/>
    <w:next w:val="3"/>
    <w:qFormat/>
    <w:uiPriority w:val="0"/>
    <w:pPr>
      <w:keepLines/>
      <w:tabs>
        <w:tab w:val="clear" w:pos="3360"/>
      </w:tabs>
      <w:adjustRightInd w:val="0"/>
      <w:spacing w:beforeLines="0" w:afterLines="0" w:line="576" w:lineRule="auto"/>
      <w:jc w:val="both"/>
    </w:pPr>
    <w:rPr>
      <w:b/>
      <w:kern w:val="44"/>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9">
    <w:name w:val="样式 宋体 五号 行距: 单倍行距"/>
    <w:basedOn w:val="1"/>
    <w:qFormat/>
    <w:uiPriority w:val="0"/>
    <w:pPr>
      <w:adjustRightInd w:val="0"/>
      <w:jc w:val="left"/>
    </w:pPr>
    <w:rPr>
      <w:rFonts w:ascii="宋体" w:hAnsi="宋体"/>
      <w:kern w:val="0"/>
      <w:sz w:val="21"/>
    </w:rPr>
  </w:style>
  <w:style w:type="paragraph" w:customStyle="1" w:styleId="21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1">
    <w:name w:val="样式1xz"/>
    <w:basedOn w:val="1"/>
    <w:qFormat/>
    <w:uiPriority w:val="0"/>
    <w:pPr>
      <w:tabs>
        <w:tab w:val="left" w:pos="1050"/>
        <w:tab w:val="right" w:leader="dot" w:pos="8296"/>
      </w:tabs>
    </w:pPr>
    <w:rPr>
      <w:caps/>
      <w:spacing w:val="20"/>
      <w:sz w:val="24"/>
    </w:rPr>
  </w:style>
  <w:style w:type="paragraph" w:customStyle="1" w:styleId="212">
    <w:name w:val="正文表格"/>
    <w:basedOn w:val="1"/>
    <w:qFormat/>
    <w:uiPriority w:val="0"/>
    <w:pPr>
      <w:adjustRightInd w:val="0"/>
      <w:spacing w:before="40" w:after="40"/>
    </w:pPr>
    <w:rPr>
      <w:sz w:val="24"/>
    </w:rPr>
  </w:style>
  <w:style w:type="paragraph" w:customStyle="1" w:styleId="21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70abcd-5a74-4b78-bb53-c2d7b30e0e40}"/>
        <w:style w:val=""/>
        <w:category>
          <w:name w:val="常规"/>
          <w:gallery w:val="placeholder"/>
        </w:category>
        <w:types>
          <w:type w:val="bbPlcHdr"/>
        </w:types>
        <w:behaviors>
          <w:behavior w:val="content"/>
        </w:behaviors>
        <w:description w:val=""/>
        <w:guid w:val="{c270abcd-5a74-4b78-bb53-c2d7b30e0e40}"/>
      </w:docPartPr>
      <w:docPartBody>
        <w:p>
          <w:r>
            <w:rPr>
              <w:color w:val="808080"/>
            </w:rPr>
            <w:t>单击此处输入文字。</w:t>
          </w:r>
        </w:p>
      </w:docPartBody>
    </w:docPart>
    <w:docPart>
      <w:docPartPr>
        <w:name w:val="{5b189bf6-9422-4a52-abdb-3ee201557baa}"/>
        <w:style w:val=""/>
        <w:category>
          <w:name w:val="常规"/>
          <w:gallery w:val="placeholder"/>
        </w:category>
        <w:types>
          <w:type w:val="bbPlcHdr"/>
        </w:types>
        <w:behaviors>
          <w:behavior w:val="content"/>
        </w:behaviors>
        <w:description w:val=""/>
        <w:guid w:val="{5b189bf6-9422-4a52-abdb-3ee201557baa}"/>
      </w:docPartPr>
      <w:docPartBody>
        <w:p>
          <w:r>
            <w:rPr>
              <w:color w:val="808080"/>
            </w:rPr>
            <w:t>单击此处输入文字。</w:t>
          </w:r>
        </w:p>
      </w:docPartBody>
    </w:docPart>
    <w:docPart>
      <w:docPartPr>
        <w:name w:val="{95faf153-6b2a-4fdd-9367-11c19171805d}"/>
        <w:style w:val=""/>
        <w:category>
          <w:name w:val="常规"/>
          <w:gallery w:val="placeholder"/>
        </w:category>
        <w:types>
          <w:type w:val="bbPlcHdr"/>
        </w:types>
        <w:behaviors>
          <w:behavior w:val="content"/>
        </w:behaviors>
        <w:description w:val=""/>
        <w:guid w:val="{95faf153-6b2a-4fdd-9367-11c19171805d}"/>
      </w:docPartPr>
      <w:docPartBody>
        <w:p>
          <w:r>
            <w:rPr>
              <w:color w:val="808080"/>
            </w:rPr>
            <w:t>单击此处输入文字。</w:t>
          </w:r>
        </w:p>
      </w:docPartBody>
    </w:docPart>
    <w:docPart>
      <w:docPartPr>
        <w:name w:val="{d3cee3dd-6ee4-4ed9-b608-bd2ac1010fcb}"/>
        <w:style w:val=""/>
        <w:category>
          <w:name w:val="常规"/>
          <w:gallery w:val="placeholder"/>
        </w:category>
        <w:types>
          <w:type w:val="bbPlcHdr"/>
        </w:types>
        <w:behaviors>
          <w:behavior w:val="content"/>
        </w:behaviors>
        <w:description w:val=""/>
        <w:guid w:val="{d3cee3dd-6ee4-4ed9-b608-bd2ac1010fcb}"/>
      </w:docPartPr>
      <w:docPartBody>
        <w:p>
          <w:r>
            <w:rPr>
              <w:color w:val="808080"/>
            </w:rPr>
            <w:t>单击此处输入文字。</w:t>
          </w:r>
        </w:p>
      </w:docPartBody>
    </w:docPart>
    <w:docPart>
      <w:docPartPr>
        <w:name w:val="{2a324aa7-44bb-442c-8e35-13d702d2afa1}"/>
        <w:style w:val=""/>
        <w:category>
          <w:name w:val="常规"/>
          <w:gallery w:val="placeholder"/>
        </w:category>
        <w:types>
          <w:type w:val="bbPlcHdr"/>
        </w:types>
        <w:behaviors>
          <w:behavior w:val="content"/>
        </w:behaviors>
        <w:description w:val=""/>
        <w:guid w:val="{2a324aa7-44bb-442c-8e35-13d702d2afa1}"/>
      </w:docPartPr>
      <w:docPartBody>
        <w:p>
          <w:r>
            <w:rPr>
              <w:color w:val="808080"/>
            </w:rPr>
            <w:t>单击此处输入文字。</w:t>
          </w:r>
        </w:p>
      </w:docPartBody>
    </w:docPart>
    <w:docPart>
      <w:docPartPr>
        <w:name w:val="{bd25b9f4-7f18-4a90-9b3c-b93f7e6822a5}"/>
        <w:style w:val=""/>
        <w:category>
          <w:name w:val="常规"/>
          <w:gallery w:val="placeholder"/>
        </w:category>
        <w:types>
          <w:type w:val="bbPlcHdr"/>
        </w:types>
        <w:behaviors>
          <w:behavior w:val="content"/>
        </w:behaviors>
        <w:description w:val=""/>
        <w:guid w:val="{bd25b9f4-7f18-4a90-9b3c-b93f7e6822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3708C-9E8A-4804-88DB-51798CD22912}">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64</Pages>
  <Words>6104</Words>
  <Characters>34797</Characters>
  <Lines>289</Lines>
  <Paragraphs>81</Paragraphs>
  <TotalTime>36</TotalTime>
  <ScaleCrop>false</ScaleCrop>
  <LinksUpToDate>false</LinksUpToDate>
  <CharactersWithSpaces>40820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2018-05-08T10:23:00Z</dcterms:created>
  <dc:creator>admin</dc:creator>
  <cp:lastModifiedBy>Administrator</cp:lastModifiedBy>
  <cp:lastPrinted>2018-04-12T05:00:00Z</cp:lastPrinted>
  <dcterms:modified xsi:type="dcterms:W3CDTF">2018-07-11T08:51:55Z</dcterms:modified>
  <dc:title>货物</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