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四川外国语大学校领导联系院系（部）制度</w:t>
      </w:r>
    </w:p>
    <w:bookmarkEnd w:id="0"/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为进一步加强和改进学校领导班子工作作风，了解掌握院系（部）情况，为教学院系（部）服务，全面提高我校的教育教学质量，结合学校实际，特制定本制度。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工作任务</w:t>
      </w:r>
    </w:p>
    <w:p>
      <w:pPr>
        <w:adjustRightInd w:val="0"/>
        <w:snapToGrid w:val="0"/>
        <w:spacing w:line="594" w:lineRule="exact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1.了解掌握思想动态。与院系（部）党政负责人、教师和学生干部交流沟通，谈心交友，全面了解掌握师生思想动态，达到“疏通经络、活血化瘀”的效果。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2.维稳处理突发事件。积极指导院系（部）做好突发事件的预防和处置工作，保障师生员工的生命财产安全和学校的安全稳定，促进学校和谐发展。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3.指导院系重点工作。指导院系（部）做好领导班子、师资队伍、学科专业等重点建设工作，督促其及时完成学校部署的重点工作，为院系（部）服好务，促进其健康可持续发展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具体安排</w:t>
      </w:r>
    </w:p>
    <w:p>
      <w:pPr>
        <w:adjustRightInd w:val="0"/>
        <w:snapToGrid w:val="0"/>
        <w:spacing w:line="594" w:lineRule="exact"/>
        <w:ind w:left="420" w:leftChars="200"/>
        <w:rPr>
          <w:rFonts w:hint="eastAsia" w:ascii="方正黑体_GBK" w:hAnsi="宋体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ind w:left="420" w:leftChars="200"/>
        <w:rPr>
          <w:rFonts w:hint="eastAsia" w:ascii="方正黑体_GBK" w:hAnsi="宋体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ind w:left="420" w:leftChars="200"/>
        <w:rPr>
          <w:rFonts w:hint="eastAsia" w:ascii="方正黑体_GBK" w:hAnsi="宋体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hint="eastAsia" w:ascii="方正黑体_GBK" w:hAnsi="宋体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hint="eastAsia" w:ascii="方正仿宋_GBK" w:hAnsi="宋体" w:eastAsia="方正仿宋_GBK"/>
          <w:b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446" w:bottom="1644" w:left="1446" w:header="851" w:footer="992" w:gutter="0"/>
          <w:pgNumType w:fmt="numberInDash"/>
          <w:cols w:space="720" w:num="1"/>
          <w:titlePg/>
          <w:docGrid w:type="lines" w:linePitch="314" w:charSpace="0"/>
        </w:sectPr>
      </w:pPr>
    </w:p>
    <w:tbl>
      <w:tblPr>
        <w:tblStyle w:val="5"/>
        <w:tblW w:w="8715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2"/>
                <w:szCs w:val="32"/>
              </w:rPr>
              <w:t>校领导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32"/>
                <w:szCs w:val="32"/>
              </w:rPr>
              <w:t>联系院系（部）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明国辉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英语学院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李克勇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法语系、国际关系学院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张  艳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马克思主义学院、新闻传播学院、社会学系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聂志强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俄语系、日语系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李  彦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李小川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出国人员培训部、国际教育学院、继续教育学院</w:t>
            </w:r>
          </w:p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留学生部、体育部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董洪川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研究生院、德语系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郑白玲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商务英语学院、东方语学院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祝朝伟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翻译学院、西班牙语系、大外部、教育学院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张季菁</w:t>
            </w:r>
          </w:p>
        </w:tc>
        <w:tc>
          <w:tcPr>
            <w:tcW w:w="7050" w:type="dxa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中文系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6F7"/>
    <w:multiLevelType w:val="singleLevel"/>
    <w:tmpl w:val="57BE56F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1B14"/>
    <w:rsid w:val="01E11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2017-04-27T06:59:00Z</dcterms:created>
  <dc:creator>ASUS</dc:creator>
  <cp:lastModifiedBy>ASUS</cp:lastModifiedBy>
  <dcterms:modified xsi:type="dcterms:W3CDTF">2017-04-27T07:00:07Z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