
<file path=[Content_Types].xml><?xml version="1.0" encoding="utf-8"?>
<Types xmlns="http://schemas.openxmlformats.org/package/2006/content-types">
  <Default Extension="jpg" ContentType="image/jpeg"/>
  <Default Extension="xml" ContentType="application/xml"/>
  <Default Extension="rels" ContentType="application/vnd.openxmlformats-package.relationship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media/image2.jpg" ContentType="image/jpeg"/>
  <Override PartName="/word/media/image1.jpg" ContentType="image/jpeg"/>
  <Override PartName="/word/theme/theme1.xml" ContentType="application/vnd.openxmlformats-officedocument.theme+xml"/>
  <Override PartName="/word/media/image3.jpg" ContentType="image/jpeg"/>
  <Override PartName="/word/media/image4.jpg" ContentType="image/jpeg"/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w="http://schemas.openxmlformats.org/wordprocessingml/2006/main" xmlns:r="http://schemas.openxmlformats.org/officeDocument/2006/relationships" xmlns:a="http://schemas.openxmlformats.org/drawingml/2006/main" xmlns:wp="http://schemas.openxmlformats.org/drawingml/2006/wordprocessingDrawing" xmlns:pic="http://schemas.openxmlformats.org/drawingml/2006/picture">
  <w:body>
    <w:p>
      <w:pPr>
        <w:pStyle w:val="000004"/>
        <w:jc w:val="left"/>
        <w:rPr/>
      </w:pPr>
      <w:r>
        <w:rPr/>
        <w:t>四川外国语大学“2024年世界投资者周”活动暨“探馆学期货，投教郑当时”重庆行活动圆满落幕</w:t>
      </w:r>
    </w:p>
    <w:p>
      <w:pPr>
        <w:rPr/>
      </w:pPr>
      <w:r>
        <w:rPr/>
        <w:t xml:space="preserve">  10月15日，四川外国语大学“2024年世界投资者周”活动暨“探馆学期货，投教郑当时”重庆行活动在钟楼下举行。本次活动由四川外国语大学与郑州商品交易所、重庆证券期货业协会以及中信建投期货联合开展。</w:t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drawing>
          <wp:inline distT="0" distB="0" distL="0" distR="0">
            <wp:extent cx="5760720" cy="3840480"/>
            <wp:effectExtent l="0" t="0" r="0" b="0"/>
            <wp:docPr id="1" name="picture"/>
            <wp:cNvGraphicFramePr/>
            <a:graphic>
              <a:graphicData uri="http://schemas.openxmlformats.org/drawingml/2006/picture">
                <pic:pic>
                  <pic:nvPicPr>
                    <pic:cNvPr id="3" name="pictur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sz w:val="22"/>
        </w:rPr>
      </w:pPr>
      <w:r>
        <w:rPr>
          <w:color w:val="333333"/>
          <w:sz w:val="22"/>
        </w:rPr>
        <w:t xml:space="preserve">  此次活动于钟楼下举行金融市集，活动形式多样，富有意趣。现场设置了“投壶术”“Emoji猜猜猜”等新颖有趣的金融小游戏。学生可通过游园集章的形式兑换奖品以留存纪念。多名2022级国际经济与贸易专业学生积极赴场参会，活动现场氛围如火如荼。</w:t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drawing>
          <wp:inline distT="0" distB="0" distL="0" distR="0">
            <wp:extent cx="5760720" cy="3840480"/>
            <wp:effectExtent l="0" t="0" r="0" b="0"/>
            <wp:docPr id="2" name="picture"/>
            <wp:cNvGraphicFramePr/>
            <a:graphic>
              <a:graphicData uri="http://schemas.openxmlformats.org/drawingml/2006/picture">
                <pic:pic>
                  <pic:nvPicPr>
                    <pic:cNvPr id="6" name="picture"/>
                    <pic:cNvPicPr/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t xml:space="preserve">  </w:t>
      </w:r>
    </w:p>
    <w:p>
      <w:pPr>
        <w:rPr>
          <w:color w:val="333333"/>
          <w:sz w:val="22"/>
        </w:rPr>
      </w:pPr>
      <w:r>
        <w:rPr>
          <w:color w:val="333333"/>
          <w:sz w:val="22"/>
        </w:rPr>
        <w:drawing>
          <wp:inline distT="0" distB="0" distL="0" distR="0">
            <wp:extent cx="5633720" cy="3755813"/>
            <wp:effectExtent l="0" t="0" r="0" b="0"/>
            <wp:docPr id="3" name="图片 2" descr="图示, 示意图&amp;#10;&amp;#10;中度可信度描述已自动生成:ver1"/>
            <wp:cNvGraphicFramePr>
              <a:graphicFrameLocks xmlns:w="http://schemas.openxmlformats.org/wordprocessingml/2006/main" xmlns:r="http://schemas.openxmlformats.org/officeDocument/2006/relationships" xmlns:a="http://schemas.openxmlformats.org/drawingml/2006/main" xmlns:wp="http://schemas.openxmlformats.org/drawingml/2006/wordprocessingDrawing" xmlns:pic="http://schemas.openxmlformats.org/drawingml/2006/picture" noChangeAspect="1"/>
            </wp:cNvGraphicFramePr>
            <a:graphic xmlns:w="http://schemas.openxmlformats.org/wordprocessingml/2006/main" xmlns:r="http://schemas.openxmlformats.org/officeDocument/2006/relationships" xmlns:a="http://schemas.openxmlformats.org/drawingml/2006/main" xmlns:wp="http://schemas.openxmlformats.org/drawingml/2006/wordprocessingDrawing" xmlns:pic="http://schemas.openxmlformats.org/drawingml/2006/picture">
              <a:graphicData uri="http://schemas.openxmlformats.org/drawingml/2006/picture">
                <pic:pic xmlns:w="http://schemas.openxmlformats.org/wordprocessingml/2006/main" xmlns:r="http://schemas.openxmlformats.org/officeDocument/2006/relationships" xmlns:a="http://schemas.openxmlformats.org/drawingml/2006/main" xmlns:wp="http://schemas.openxmlformats.org/drawingml/2006/wordprocessingDrawing" xmlns:pic="http://schemas.openxmlformats.org/drawingml/2006/picture">
                  <pic:nvPicPr>
                    <pic:cNvPr id="2" name="图片 2" descr="图示, 示意图&amp;#10;&amp;#10;中度可信度描述已自动生成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33720" cy="3755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t xml:space="preserve">  活动现场，主持人结合趣味活动普及金融小知识，学生可在趣味游戏互动中学习到金融防骗知识，了解反洗钱，守好钱袋子，抵制非法金融活动，提高自身识风险抵诱惑的能力。</w:t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drawing>
          <wp:inline distT="0" distB="0" distL="0" distR="0">
            <wp:extent cx="5760720" cy="3840480"/>
            <wp:effectExtent l="0" t="0" r="0" b="0"/>
            <wp:docPr id="4" name="picture"/>
            <wp:cNvGraphicFramePr/>
            <a:graphic>
              <a:graphicData uri="http://schemas.openxmlformats.org/drawingml/2006/picture">
                <pic:pic>
                  <pic:nvPicPr>
                    <pic:cNvPr id="9" name="picture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t xml:space="preserve">  此次“2024年世界投资者周”活动暨“探馆学期货，投教郑当时”重庆行活动的开展不仅促进了我校与郑州商品交易所、重庆证券期货业协会以及中信建投期货的友好交流与合作，也促使我校学生了解到了更多反诈防骗的金融知识，提高了我校学生反诈意识与综合素养。</w:t>
      </w:r>
    </w:p>
    <w:p>
      <w:pPr>
        <w:rPr>
          <w:color w:val="333333"/>
          <w:sz w:val="22"/>
          <w:kern w:val="2"/>
          <w:szCs w:val="22"/>
        </w:rPr>
      </w:pPr>
    </w:p>
    <w:p>
      <w:pPr>
        <w:rPr>
          <w:color w:val="333333"/>
          <w:sz w:val="22"/>
          <w:lang w:val="en-US" w:eastAsia="zh-CN"/>
          <w:kern w:val="2"/>
          <w:szCs w:val="22"/>
          <w:rFonts w:eastAsia="minorEastAsia" w:hint="eastAsia"/>
        </w:rPr>
      </w:pPr>
      <w:r>
        <w:rPr>
          <w:color w:val="333333"/>
          <w:sz w:val="22"/>
          <w:lang w:val="en-US" w:eastAsia="zh-CN"/>
          <w:kern w:val="2"/>
          <w:szCs w:val="22"/>
          <w:rFonts w:hint="eastAsia"/>
        </w:rPr>
        <w:t>文字 / 吴林艳</w:t>
      </w:r>
    </w:p>
    <w:p>
      <w:pPr>
        <w:rPr>
          <w:color w:val="333333"/>
          <w:sz w:val="22"/>
          <w:lang w:val="en-US" w:eastAsia="zh-CN"/>
          <w:rFonts w:eastAsia="minorEastAsia" w:hint="eastAsia"/>
        </w:rPr>
      </w:pPr>
      <w:r>
        <w:rPr>
          <w:color w:val="333333"/>
          <w:sz w:val="22"/>
          <w:lang w:val="en-US" w:eastAsia="zh-CN"/>
          <w:rFonts w:hint="eastAsia"/>
        </w:rPr>
        <w:t xml:space="preserve">图片/王振宇 黄豪</w:t>
      </w:r>
    </w:p>
    <w:sectPr>
      <w:docGrid w:type="default" w:charSpace="0"/>
      <w:pgSz w:w="11906" w:h="16838"/>
      <w:pgMar w:top="1361" w:right="1417" w:bottom="1361" w:left="1417" w:header="712" w:footer="853" w:gutter="0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minorEastAsia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minorHAnsi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</w:fonts>
</file>

<file path=word/settings.xml><?xml version="1.0" encoding="utf-8"?>
<w:settings xmlns:w="http://schemas.openxmlformats.org/wordprocessingml/2006/main">
  <w:defaultTabStop w:val="420"/>
  <w:zoom w:percent="90"/>
  <w:compat>
    <w:spaceForUL/>
    <w:balanceSingleByteDoubleByteWidth/>
    <w:doNotLeaveBackslashAlone/>
    <w:ulTrailSpace/>
    <w:doNotExpandShiftReturn/>
    <w:adjustLineHeightInTable/>
    <w:useFELayout/>
    <w:compatSetting w:val="12" w:uri="http://schemas.microsoft.com/office/word" w:name="compatibilityMode"/>
  </w:compat>
  <w:rsids>
    <w:rsidRoot w:val="00000000"/>
    <w:rsid w:val="4D112D61"/>
  </w:rsids>
  <w:themeFontLang w:eastAsia="zh-CN" w:val="en-US"/>
  <w:clrSchemeMapping w:bg1="lt1" w:t1="dark1" w:bg2="lt2" w:t2="dark2" w:accent1="accent1" w:accent2="accent2" w:accent3="accent3" w:accent4="accent4" w:accent5="accent5" w:accent6="accent6" w:hyperlink="hyperlink" w:followedHyperlink="followedHyperlink" tx1="dk1" tx2="dk2"/>
  <w:decimalSymbol/>
  <w:listSeparator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</w:rPr>
    </w:rPrDefault>
    <w:pPrDefault>
      <w:pPr/>
    </w:pPrDefault>
  </w:docDefaults>
  <w:latentStyles w:defLockedState="0" w:defSemiHidden="1" w:defUnhideWhenUsed="1" w:defQFormat="0" w:defUIPriority="99" w:count="260">
    <w:lsdException w:name="Balloon Text" w:semiHidden="0" w:unhideWhenUsed="0"/>
    <w:lsdException w:name="Block Text" w:semiHidden="0" w:unhideWhenUsed="0"/>
    <w:lsdException w:name="Body Text" w:semiHidden="0" w:unhideWhenUsed="0"/>
    <w:lsdException w:name="Body Text 2" w:semiHidden="0" w:unhideWhenUsed="0"/>
    <w:lsdException w:name="Body Text 3" w:semiHidden="0" w:unhideWhenUsed="0"/>
    <w:lsdException w:name="Body Text First Indent" w:semiHidden="0" w:unhideWhenUsed="0"/>
    <w:lsdException w:name="Body Text First Indent 2" w:semiHidden="0" w:unhideWhenUsed="0"/>
    <w:lsdException w:name="Body Text Indent" w:semiHidden="0" w:unhideWhenUsed="0"/>
    <w:lsdException w:name="Body Text Indent 2" w:semiHidden="0" w:unhideWhenUsed="0"/>
    <w:lsdException w:name="Body Text Indent 3" w:semiHidden="0" w:unhideWhenUsed="0"/>
    <w:lsdException w:name="Closing" w:semiHidden="0" w:unhideWhenUsed="0"/>
    <w:lsdException w:name="Colorful Grid" w:semiHidden="0" w:unhideWhenUsed="0"/>
    <w:lsdException w:name="Colorful Grid Accent 1" w:semiHidden="0" w:unhideWhenUsed="0"/>
    <w:lsdException w:name="Colorful Grid Accent 2" w:semiHidden="0" w:unhideWhenUsed="0"/>
    <w:lsdException w:name="Colorful Grid Accent 3" w:semiHidden="0" w:unhideWhenUsed="0"/>
    <w:lsdException w:name="Colorful Grid Accent 4" w:semiHidden="0" w:unhideWhenUsed="0"/>
    <w:lsdException w:name="Colorful Grid Accent 5" w:semiHidden="0" w:unhideWhenUsed="0"/>
    <w:lsdException w:name="Colorful Grid Accent 6" w:semiHidden="0" w:unhideWhenUsed="0"/>
    <w:lsdException w:name="Colorful List" w:semiHidden="0" w:unhideWhenUsed="0"/>
    <w:lsdException w:name="Colorful List Accent 1" w:semiHidden="0" w:unhideWhenUsed="0"/>
    <w:lsdException w:name="Colorful List Accent 2" w:semiHidden="0" w:unhideWhenUsed="0"/>
    <w:lsdException w:name="Colorful List Accent 3" w:semiHidden="0" w:unhideWhenUsed="0"/>
    <w:lsdException w:name="Colorful List Accent 4" w:semiHidden="0" w:unhideWhenUsed="0"/>
    <w:lsdException w:name="Colorful List Accent 5" w:semiHidden="0" w:unhideWhenUsed="0"/>
    <w:lsdException w:name="Colorful List Accent 6" w:semiHidden="0" w:unhideWhenUsed="0"/>
    <w:lsdException w:name="Colorful Shading" w:semiHidden="0" w:unhideWhenUsed="0"/>
    <w:lsdException w:name="Colorful Shading Accent 1" w:semiHidden="0" w:unhideWhenUsed="0"/>
    <w:lsdException w:name="Colorful Shading Accent 2" w:semiHidden="0" w:unhideWhenUsed="0"/>
    <w:lsdException w:name="Colorful Shading Accent 3" w:semiHidden="0" w:unhideWhenUsed="0"/>
    <w:lsdException w:name="Colorful Shading Accent 4" w:semiHidden="0" w:unhideWhenUsed="0"/>
    <w:lsdException w:name="Colorful Shading Accent 5" w:semiHidden="0" w:unhideWhenUsed="0"/>
    <w:lsdException w:name="Colorful Shading Accent 6" w:semiHidden="0" w:unhideWhenUsed="0"/>
    <w:lsdException w:name="Dark List" w:semiHidden="0" w:unhideWhenUsed="0"/>
    <w:lsdException w:name="Dark List Accent 1" w:semiHidden="0" w:unhideWhenUsed="0"/>
    <w:lsdException w:name="Dark List Accent 2" w:semiHidden="0" w:unhideWhenUsed="0"/>
    <w:lsdException w:name="Dark List Accent 3" w:semiHidden="0" w:unhideWhenUsed="0"/>
    <w:lsdException w:name="Dark List Accent 4" w:semiHidden="0" w:unhideWhenUsed="0"/>
    <w:lsdException w:name="Dark List Accent 5" w:semiHidden="0" w:unhideWhenUsed="0"/>
    <w:lsdException w:name="Dark List Accent 6" w:semiHidden="0" w:unhideWhenUsed="0"/>
    <w:lsdException w:name="Date" w:semiHidden="0" w:unhideWhenUsed="0"/>
    <w:lsdException w:name="Default Paragraph Font" w:unhideWhenUsed="0"/>
    <w:lsdException w:name="Document Map" w:semiHidden="0" w:unhideWhenUsed="0"/>
    <w:lsdException w:name="E-mail Signature" w:semiHidden="0" w:unhideWhenUsed="0"/>
    <w:lsdException w:name="Emphasis" w:semiHidden="0" w:unhideWhenUsed="0"/>
    <w:lsdException w:name="FollowedHyperlink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Hyperlink" w:semiHidden="0" w:unhideWhenUsed="0"/>
    <w:lsdException w:name="Light Grid" w:semiHidden="0" w:unhideWhenUsed="0"/>
    <w:lsdException w:name="Light Grid Accent 1" w:semiHidden="0" w:unhideWhenUsed="0"/>
    <w:lsdException w:name="Light Grid Accent 2" w:semiHidden="0" w:unhideWhenUsed="0"/>
    <w:lsdException w:name="Light Grid Accent 3" w:semiHidden="0" w:unhideWhenUsed="0"/>
    <w:lsdException w:name="Light Grid Accent 4" w:semiHidden="0" w:unhideWhenUsed="0"/>
    <w:lsdException w:name="Light Grid Accent 5" w:semiHidden="0" w:unhideWhenUsed="0"/>
    <w:lsdException w:name="Light Grid Accent 6" w:semiHidden="0" w:unhideWhenUsed="0"/>
    <w:lsdException w:name="Light List" w:semiHidden="0" w:unhideWhenUsed="0"/>
    <w:lsdException w:name="Light List Accent 1" w:semiHidden="0" w:unhideWhenUsed="0"/>
    <w:lsdException w:name="Light List Accent 2" w:semiHidden="0" w:unhideWhenUsed="0"/>
    <w:lsdException w:name="Light List Accent 3" w:semiHidden="0" w:unhideWhenUsed="0"/>
    <w:lsdException w:name="Light List Accent 4" w:semiHidden="0" w:unhideWhenUsed="0"/>
    <w:lsdException w:name="Light List Accent 5" w:semiHidden="0" w:unhideWhenUsed="0"/>
    <w:lsdException w:name="Light List Accent 6" w:semiHidden="0" w:unhideWhenUsed="0"/>
    <w:lsdException w:name="Light Shading" w:semiHidden="0" w:unhideWhenUsed="0"/>
    <w:lsdException w:name="Light Shading Accent 1" w:semiHidden="0" w:unhideWhenUsed="0"/>
    <w:lsdException w:name="Light Shading Accent 2" w:semiHidden="0" w:unhideWhenUsed="0"/>
    <w:lsdException w:name="Light Shading Accent 3" w:semiHidden="0" w:unhideWhenUsed="0"/>
    <w:lsdException w:name="Light Shading Accent 4" w:semiHidden="0" w:unhideWhenUsed="0"/>
    <w:lsdException w:name="Light Shading Accent 5" w:semiHidden="0" w:unhideWhenUsed="0"/>
    <w:lsdException w:name="Light Shading Accent 6" w:semiHidden="0" w:unhideWhenUsed="0"/>
    <w:lsdException w:name="List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List Number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Medium Grid 1" w:semiHidden="0" w:unhideWhenUsed="0"/>
    <w:lsdException w:name="Medium Grid 1 Accent 1" w:semiHidden="0" w:unhideWhenUsed="0"/>
    <w:lsdException w:name="Medium Grid 1 Accent 2" w:semiHidden="0" w:unhideWhenUsed="0"/>
    <w:lsdException w:name="Medium Grid 1 Accent 3" w:semiHidden="0" w:unhideWhenUsed="0"/>
    <w:lsdException w:name="Medium Grid 1 Accent 4" w:semiHidden="0" w:unhideWhenUsed="0"/>
    <w:lsdException w:name="Medium Grid 1 Accent 5" w:semiHidden="0" w:unhideWhenUsed="0"/>
    <w:lsdException w:name="Medium Grid 1 Accent 6" w:semiHidden="0" w:unhideWhenUsed="0"/>
    <w:lsdException w:name="Medium Grid 2" w:semiHidden="0" w:unhideWhenUsed="0"/>
    <w:lsdException w:name="Medium Grid 2 Accent 1" w:semiHidden="0" w:unhideWhenUsed="0"/>
    <w:lsdException w:name="Medium Grid 2 Accent 2" w:semiHidden="0" w:unhideWhenUsed="0"/>
    <w:lsdException w:name="Medium Grid 2 Accent 3" w:semiHidden="0" w:unhideWhenUsed="0"/>
    <w:lsdException w:name="Medium Grid 2 Accent 4" w:semiHidden="0" w:unhideWhenUsed="0"/>
    <w:lsdException w:name="Medium Grid 2 Accent 5" w:semiHidden="0" w:unhideWhenUsed="0"/>
    <w:lsdException w:name="Medium Grid 2 Accent 6" w:semiHidden="0" w:unhideWhenUsed="0"/>
    <w:lsdException w:name="Medium Grid 3" w:semiHidden="0" w:unhideWhenUsed="0"/>
    <w:lsdException w:name="Medium Grid 3 Accent 1" w:semiHidden="0" w:unhideWhenUsed="0"/>
    <w:lsdException w:name="Medium Grid 3 Accent 2" w:semiHidden="0" w:unhideWhenUsed="0"/>
    <w:lsdException w:name="Medium Grid 3 Accent 3" w:semiHidden="0" w:unhideWhenUsed="0"/>
    <w:lsdException w:name="Medium Grid 3 Accent 4" w:semiHidden="0" w:unhideWhenUsed="0"/>
    <w:lsdException w:name="Medium Grid 3 Accent 5" w:semiHidden="0" w:unhideWhenUsed="0"/>
    <w:lsdException w:name="Medium Grid 3 Accent 6" w:semiHidden="0" w:unhideWhenUsed="0"/>
    <w:lsdException w:name="Medium List 1" w:semiHidden="0" w:unhideWhenUsed="0"/>
    <w:lsdException w:name="Medium List 1 Accent 1" w:semiHidden="0" w:unhideWhenUsed="0"/>
    <w:lsdException w:name="Medium List 1 Accent 2" w:semiHidden="0" w:unhideWhenUsed="0"/>
    <w:lsdException w:name="Medium List 1 Accent 3" w:semiHidden="0" w:unhideWhenUsed="0"/>
    <w:lsdException w:name="Medium List 1 Accent 4" w:semiHidden="0" w:unhideWhenUsed="0"/>
    <w:lsdException w:name="Medium List 1 Accent 5" w:semiHidden="0" w:unhideWhenUsed="0"/>
    <w:lsdException w:name="Medium List 1 Accent 6" w:semiHidden="0" w:unhideWhenUsed="0"/>
    <w:lsdException w:name="Medium List 2" w:semiHidden="0" w:unhideWhenUsed="0"/>
    <w:lsdException w:name="Medium List 2 Accent 1" w:semiHidden="0" w:unhideWhenUsed="0"/>
    <w:lsdException w:name="Medium List 2 Accent 2" w:semiHidden="0" w:unhideWhenUsed="0"/>
    <w:lsdException w:name="Medium List 2 Accent 3" w:semiHidden="0" w:unhideWhenUsed="0"/>
    <w:lsdException w:name="Medium List 2 Accent 4" w:semiHidden="0" w:unhideWhenUsed="0"/>
    <w:lsdException w:name="Medium List 2 Accent 5" w:semiHidden="0" w:unhideWhenUsed="0"/>
    <w:lsdException w:name="Medium List 2 Accent 6" w:semiHidden="0" w:unhideWhenUsed="0"/>
    <w:lsdException w:name="Medium Shading 1" w:semiHidden="0" w:unhideWhenUsed="0"/>
    <w:lsdException w:name="Medium Shading 1 Accent 1" w:semiHidden="0" w:unhideWhenUsed="0"/>
    <w:lsdException w:name="Medium Shading 1 Accent 2" w:semiHidden="0" w:unhideWhenUsed="0"/>
    <w:lsdException w:name="Medium Shading 1 Accent 3" w:semiHidden="0" w:unhideWhenUsed="0"/>
    <w:lsdException w:name="Medium Shading 1 Accent 4" w:semiHidden="0" w:unhideWhenUsed="0"/>
    <w:lsdException w:name="Medium Shading 1 Accent 5" w:semiHidden="0" w:unhideWhenUsed="0"/>
    <w:lsdException w:name="Medium Shading 1 Accent 6" w:semiHidden="0" w:unhideWhenUsed="0"/>
    <w:lsdException w:name="Medium Shading 2" w:semiHidden="0" w:unhideWhenUsed="0"/>
    <w:lsdException w:name="Medium Shading 2 Accent 1" w:semiHidden="0" w:unhideWhenUsed="0"/>
    <w:lsdException w:name="Medium Shading 2 Accent 2" w:semiHidden="0" w:unhideWhenUsed="0"/>
    <w:lsdException w:name="Medium Shading 2 Accent 3" w:semiHidden="0" w:unhideWhenUsed="0"/>
    <w:lsdException w:name="Medium Shading 2 Accent 4" w:semiHidden="0" w:unhideWhenUsed="0"/>
    <w:lsdException w:name="Medium Shading 2 Accent 5" w:semiHidden="0" w:unhideWhenUsed="0"/>
    <w:lsdException w:name="Medium Shading 2 Accent 6" w:semiHidden="0" w:unhideWhenUsed="0"/>
    <w:lsdException w:name="Message Header" w:semiHidden="0" w:unhideWhenUsed="0"/>
    <w:lsdException w:name="Normal" w:semiHidden="0" w:unhideWhenUsed="0"/>
    <w:lsdException w:name="Normal (Web)" w:semiHidden="0" w:unhideWhenUsed="0"/>
    <w:lsdException w:name="Normal Indent" w:semiHidden="0" w:unhideWhenUsed="0"/>
    <w:lsdException w:name="Normal Table" w:unhideWhenUsed="0"/>
    <w:lsdException w:name="Note Heading" w:semiHidden="0" w:unhideWhenUsed="0"/>
    <w:lsdException w:name="Plain Text" w:semiHidden="0" w:unhideWhenUsed="0"/>
    <w:lsdException w:name="Salutation" w:semiHidden="0" w:unhideWhenUsed="0"/>
    <w:lsdException w:name="Signature" w:semiHidden="0" w:unhideWhenUsed="0"/>
    <w:lsdException w:name="Strong" w:semiHidden="0" w:unhideWhenUsed="0"/>
    <w:lsdException w:name="Subtitle" w:semiHidden="0" w:unhideWhenUsed="0"/>
    <w:lsdException w:name="Table 3D effects 1" w:semiHidden="0" w:unhideWhenUsed="0"/>
    <w:lsdException w:name="Table 3D effects 2" w:semiHidden="0" w:unhideWhenUsed="0"/>
    <w:lsdException w:name="Table 3D effects 3" w:semiHidden="0" w:unhideWhenUsed="0"/>
    <w:lsdException w:name="Table Classic 1" w:semiHidden="0" w:unhideWhenUsed="0"/>
    <w:lsdException w:name="Table Classic 2" w:semiHidden="0" w:unhideWhenUsed="0"/>
    <w:lsdException w:name="Table Classic 3" w:semiHidden="0" w:unhideWhenUsed="0"/>
    <w:lsdException w:name="Table Classic 4" w:semiHidden="0" w:unhideWhenUsed="0"/>
    <w:lsdException w:name="Table Colorful 1" w:semiHidden="0" w:unhideWhenUsed="0"/>
    <w:lsdException w:name="Table Colorful 2" w:semiHidden="0" w:unhideWhenUsed="0"/>
    <w:lsdException w:name="Table Colorful 3" w:semiHidden="0" w:unhideWhenUsed="0"/>
    <w:lsdException w:name="Table Columns 1" w:semiHidden="0" w:unhideWhenUsed="0"/>
    <w:lsdException w:name="Table Columns 2" w:semiHidden="0" w:unhideWhenUsed="0"/>
    <w:lsdException w:name="Table Columns 3" w:semiHidden="0" w:unhideWhenUsed="0"/>
    <w:lsdException w:name="Table Columns 4" w:semiHidden="0" w:unhideWhenUsed="0"/>
    <w:lsdException w:name="Table Columns 5" w:semiHidden="0" w:unhideWhenUsed="0"/>
    <w:lsdException w:name="Table Contemporary" w:semiHidden="0" w:unhideWhenUsed="0"/>
    <w:lsdException w:name="Table Elegant" w:semiHidden="0" w:unhideWhenUsed="0"/>
    <w:lsdException w:name="Table Grid" w:semiHidden="0" w:unhideWhenUsed="0"/>
    <w:lsdException w:name="Table Grid 1" w:semiHidden="0" w:unhideWhenUsed="0"/>
    <w:lsdException w:name="Table Grid 2" w:semiHidden="0" w:unhideWhenUsed="0"/>
    <w:lsdException w:name="Table Grid 3" w:semiHidden="0" w:unhideWhenUsed="0"/>
    <w:lsdException w:name="Table Grid 4" w:semiHidden="0" w:unhideWhenUsed="0"/>
    <w:lsdException w:name="Table Grid 5" w:semiHidden="0" w:unhideWhenUsed="0"/>
    <w:lsdException w:name="Table Grid 6" w:semiHidden="0" w:unhideWhenUsed="0"/>
    <w:lsdException w:name="Table Grid 7" w:semiHidden="0" w:unhideWhenUsed="0"/>
    <w:lsdException w:name="Table Grid 8" w:semiHidden="0" w:unhideWhenUsed="0"/>
    <w:lsdException w:name="Table List 1" w:semiHidden="0" w:unhideWhenUsed="0"/>
    <w:lsdException w:name="Table List 2" w:semiHidden="0" w:unhideWhenUsed="0"/>
    <w:lsdException w:name="Table List 3" w:semiHidden="0" w:unhideWhenUsed="0"/>
    <w:lsdException w:name="Table List 4" w:semiHidden="0" w:unhideWhenUsed="0"/>
    <w:lsdException w:name="Table List 5" w:semiHidden="0" w:unhideWhenUsed="0"/>
    <w:lsdException w:name="Table List 6" w:semiHidden="0" w:unhideWhenUsed="0"/>
    <w:lsdException w:name="Table List 7" w:semiHidden="0" w:unhideWhenUsed="0"/>
    <w:lsdException w:name="Table List 8" w:semiHidden="0" w:unhideWhenUsed="0"/>
    <w:lsdException w:name="Table Professional" w:semiHidden="0" w:unhideWhenUsed="0"/>
    <w:lsdException w:name="Table Simple 1" w:semiHidden="0" w:unhideWhenUsed="0"/>
    <w:lsdException w:name="Table Simple 2" w:semiHidden="0" w:unhideWhenUsed="0"/>
    <w:lsdException w:name="Table Simple 3" w:semiHidden="0" w:unhideWhenUsed="0"/>
    <w:lsdException w:name="Table Subtle 1" w:semiHidden="0" w:unhideWhenUsed="0"/>
    <w:lsdException w:name="Table Subtle 2" w:semiHidden="0" w:unhideWhenUsed="0"/>
    <w:lsdException w:name="Table Theme" w:semiHidden="0" w:unhideWhenUsed="0"/>
    <w:lsdException w:name="Table Web 1" w:semiHidden="0" w:unhideWhenUsed="0"/>
    <w:lsdException w:name="Table Web 2" w:semiHidden="0" w:unhideWhenUsed="0"/>
    <w:lsdException w:name="Table Web 3" w:semiHidden="0" w:unhideWhenUsed="0"/>
    <w:lsdException w:name="Title" w:semiHidden="0" w:unhideWhenUsed="0"/>
    <w:lsdException w:name="annotation reference" w:semiHidden="0" w:unhideWhenUsed="0"/>
    <w:lsdException w:name="annotation subject" w:semiHidden="0" w:unhideWhenUsed="0"/>
    <w:lsdException w:name="annotation text" w:semiHidden="0" w:unhideWhenUsed="0"/>
    <w:lsdException w:name="caption"/>
    <w:lsdException w:name="endnote reference" w:semiHidden="0" w:unhideWhenUsed="0"/>
    <w:lsdException w:name="endnote text" w:semiHidden="0" w:unhideWhenUsed="0"/>
    <w:lsdException w:name="envelope address" w:semiHidden="0" w:unhideWhenUsed="0"/>
    <w:lsdException w:name="envelope return" w:semiHidden="0" w:unhideWhenUsed="0"/>
    <w:lsdException w:name="footer" w:semiHidden="0" w:unhideWhenUsed="0"/>
    <w:lsdException w:name="footnote reference" w:semiHidden="0" w:unhideWhenUsed="0"/>
    <w:lsdException w:name="footnote text" w:semiHidden="0" w:unhideWhenUsed="0"/>
    <w:lsdException w:name="header" w:semiHidden="0" w:unhideWhenUsed="0"/>
    <w:lsdException w:name="heading 1" w:semiHidden="0" w:unhideWhenUsed="0"/>
    <w:lsdException w:name="heading 2"/>
    <w:lsdException w:name="heading 3"/>
    <w:lsdException w:name="heading 4"/>
    <w:lsdException w:name="heading 5"/>
    <w:lsdException w:name="heading 6"/>
    <w:lsdException w:name="heading 7"/>
    <w:lsdException w:name="heading 8"/>
    <w:lsdException w:name="heading 9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index heading" w:semiHidden="0" w:unhideWhenUsed="0"/>
    <w:lsdException w:name="line number" w:semiHidden="0" w:unhideWhenUsed="0"/>
    <w:lsdException w:name="macro" w:semiHidden="0" w:unhideWhenUsed="0"/>
    <w:lsdException w:name="page number" w:semiHidden="0" w:unhideWhenUsed="0"/>
    <w:lsdException w:name="table of authorities" w:semiHidden="0" w:unhideWhenUsed="0"/>
    <w:lsdException w:name="table of figures" w:semiHidden="0" w:unhideWhenUsed="0"/>
    <w:lsdException w:name="toa heading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</w:latentStyles>
  <w:style w:type="paragraph" w:styleId="000001" w:default="1">
    <w:name w:val="Normal"/>
    <w:uiPriority w:val="0"/>
    <w:qFormat/>
    <w:pPr>
      <w:widowControl w:val="0"/>
      <w:snapToGrid w:val="0"/>
      <w:jc w:val="left"/>
      <w:spacing w:after="60" w:before="60" w:line="312" w:lineRule="auto"/>
    </w:pPr>
    <w:rPr>
      <w:color w:val="333333"/>
      <w:sz w:val="22"/>
      <w:kern w:val="2"/>
      <w:szCs w:val="22"/>
      <w:rFonts w:ascii="minorHAnsi" w:hAnsi="minorHAnsi" w:eastAsia="minorEastAsia" w:cstheme="minorBidi"/>
    </w:rPr>
  </w:style>
  <w:style w:type="character" w:styleId="000002" w:default="1">
    <w:name w:val="Default Paragraph Font"/>
    <w:uiPriority w:val="0"/>
    <w:semiHidden/>
    <w:qFormat/>
  </w:style>
  <w:style w:type="table" w:styleId="000003" w:default="1">
    <w:name w:val="Normal Table"/>
    <w:uiPriority w:val="0"/>
    <w:semiHidden/>
    <w:qFormat/>
    <w:tblPr>
      <w:tblLayout w:type="fixed"/>
      <w:tblCellMar>
        <w:top w:type="dxa" w:w="0.000000"/>
        <w:bottom w:type="dxa" w:w="0.000000"/>
        <w:left w:type="dxa" w:w="108.000000"/>
        <w:right w:type="dxa" w:w="108.000000"/>
      </w:tblCellMar>
    </w:tblPr>
  </w:style>
  <w:style w:type="paragraph" w:styleId="000004">
    <w:name w:val="Title"/>
    <w:basedOn w:val="000001"/>
    <w:uiPriority w:val="9"/>
    <w:qFormat/>
    <w:pPr>
      <w:keepNext w:val="1"/>
      <w:keepLines w:val="1"/>
      <w:jc w:val="center"/>
      <w:outlineLvl w:val="0"/>
      <w:spacing w:after="0" w:before="0" w:line="408" w:lineRule="auto"/>
    </w:pPr>
    <w:rPr>
      <w:b w:val="1"/>
      <w:color w:val="1A1A1A"/>
      <w:sz w:val="48"/>
      <w:bCs/>
      <w:szCs w:val="48"/>
    </w:rPr>
  </w:style>
</w:styles>
</file>

<file path=word/_rels/document.xml.rels><?xml version="1.0" encoding="UTF-8" standalone="yes"?><Relationships xmlns="http://schemas.openxmlformats.org/package/2006/relationships"><Relationship Id="rId7" Type="http://schemas.openxmlformats.org/officeDocument/2006/relationships/image" Target="media/image4.jpg" /><Relationship Id="rId6" Type="http://schemas.openxmlformats.org/officeDocument/2006/relationships/image" Target="media/image3.jpg" /><Relationship Id="rId4" Type="http://schemas.openxmlformats.org/officeDocument/2006/relationships/image" Target="media/image1.jpg" /><Relationship Id="rId5" Type="http://schemas.openxmlformats.org/officeDocument/2006/relationships/image" Target="media/image2.jpg" /><Relationship Id="rId2" Type="http://schemas.openxmlformats.org/officeDocument/2006/relationships/fontTable" Target="fontTable.xml" /><Relationship Id="rId1" Type="http://schemas.openxmlformats.org/officeDocument/2006/relationships/settings" Target="settings.xml" /><Relationship Id="rId3" Type="http://schemas.openxmlformats.org/officeDocument/2006/relationships/theme" Target="theme/theme1.xml" /><Relationship Id="rId0" Type="http://schemas.openxmlformats.org/officeDocument/2006/relationships/styles" Target="styles.xml" 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anose=""/>
        <a:ea typeface=""/>
        <a:cs typeface=""/>
        <a:font script="Hant" typeface="新細明體"/>
        <a:font script="Arab" typeface="Times New Roman"/>
        <a:font script="Knda" typeface="Tunga"/>
        <a:font script="Taml" typeface="Latha"/>
        <a:font script="Ethi" typeface="Nyala"/>
        <a:font script="Thaa" typeface="MV Boli"/>
        <a:font script="Jpan" typeface="ＭＳ ゴシック"/>
        <a:font script="Yiii" typeface="Microsoft Yi Baiti"/>
        <a:font script="Guru" typeface="Raavi"/>
        <a:font script="Hans" typeface="宋体"/>
        <a:font script="Beng" typeface="Vrinda"/>
        <a:font script="Uigh" typeface="Microsoft Uighur"/>
        <a:font script="Thai" typeface="Angsana New"/>
        <a:font script="Gujr" typeface="Shruti"/>
        <a:font script="Syrc" typeface="Estrangelo Edessa"/>
        <a:font script="Khmr" typeface="MoolBoran"/>
        <a:font script="Cans" typeface="Euphemia"/>
        <a:font script="Orya" typeface="Kalinga"/>
        <a:font script="Deva" typeface="Mangal"/>
        <a:font script="Hang" typeface="맑은 고딕"/>
        <a:font script="Mlym" typeface="Kartika"/>
        <a:font script="Mong" typeface="Mongolian Baiti"/>
        <a:font script="Telu" typeface="Gautami"/>
        <a:font script="Sinh" typeface="Iskoola Pota"/>
        <a:font script="Geor" typeface="Sylfaen"/>
        <a:font script="Cher" typeface="Plantagenet Cherokee"/>
        <a:font script="Hebr" typeface="Times New Roman"/>
        <a:font script="Viet" typeface="Times New Roman"/>
        <a:font script="Laoo" typeface="DokChampa"/>
        <a:font script="Tibt" typeface="Microsoft Himalaya"/>
      </a:majorFont>
      <a:minorFont>
        <a:latin typeface="Calibri" panose=""/>
        <a:ea typeface=""/>
        <a:cs typeface=""/>
        <a:font script="Hant" typeface="新細明體"/>
        <a:font script="Arab" typeface="Arial"/>
        <a:font script="Knda" typeface="Tunga"/>
        <a:font script="Taml" typeface="Latha"/>
        <a:font script="Ethi" typeface="Nyala"/>
        <a:font script="Thaa" typeface="MV Boli"/>
        <a:font script="Jpan" typeface="ＭＳ 明朝"/>
        <a:font script="Yiii" typeface="Microsoft Yi Baiti"/>
        <a:font script="Guru" typeface="Raavi"/>
        <a:font script="Hans" typeface="宋体"/>
        <a:font script="Beng" typeface="Vrinda"/>
        <a:font script="Uigh" typeface="Microsoft Uighur"/>
        <a:font script="Thai" typeface="Cordia New"/>
        <a:font script="Gujr" typeface="Shruti"/>
        <a:font script="Syrc" typeface="Estrangelo Edessa"/>
        <a:font script="Khmr" typeface="DaunPenh"/>
        <a:font script="Cans" typeface="Euphemia"/>
        <a:font script="Orya" typeface="Kalinga"/>
        <a:font script="Deva" typeface="Mangal"/>
        <a:font script="Hang" typeface="맑은 고딕"/>
        <a:font script="Mlym" typeface="Kartika"/>
        <a:font script="Mong" typeface="Mongolian Baiti"/>
        <a:font script="Telu" typeface="Gautami"/>
        <a:font script="Sinh" typeface="Iskoola Pota"/>
        <a:font script="Geor" typeface="Sylfaen"/>
        <a:font script="Cher" typeface="Plantagenet Cherokee"/>
        <a:font script="Hebr" typeface="Arial"/>
        <a:font script="Viet" typeface="Arial"/>
        <a:font script="Laoo" typeface="DokChampa"/>
        <a:font script="Tibt" typeface="Microsoft Himalay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satMod val="300000"/>
                <a:tint val="50000"/>
              </a:schemeClr>
            </a:gs>
            <a:gs pos="35000">
              <a:schemeClr val="phClr">
                <a:satMod val="300000"/>
                <a:tint val="37000"/>
              </a:schemeClr>
            </a:gs>
            <a:gs pos="100000">
              <a:schemeClr val="phClr">
                <a:satMod val="350000"/>
                <a:tint val="1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atMod val="130000"/>
                <a:shade val="51000"/>
              </a:schemeClr>
            </a:gs>
            <a:gs pos="80000">
              <a:schemeClr val="phClr">
                <a:satMod val="130000"/>
                <a:shade val="93000"/>
              </a:schemeClr>
            </a:gs>
            <a:gs pos="100000">
              <a:schemeClr val="phClr">
                <a:satMod val="135000"/>
                <a:shade val="94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atMod val="105000"/>
              <a:shade val="9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atMod val="350000"/>
                <a:tint val="40000"/>
              </a:schemeClr>
            </a:gs>
            <a:gs pos="40000">
              <a:schemeClr val="phClr">
                <a:satMod val="350000"/>
                <a:shade val="99000"/>
                <a:tint val="45000"/>
              </a:schemeClr>
            </a:gs>
            <a:gs pos="100000">
              <a:schemeClr val="phClr">
                <a:satMod val="255000"/>
                <a:shade val="20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satMod val="300000"/>
                <a:tint val="80000"/>
              </a:schemeClr>
            </a:gs>
            <a:gs pos="100000">
              <a:schemeClr val="phClr">
                <a:satMod val="200000"/>
                <a:shade val="3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0</Pages>
  <Words>0</Words>
  <Characters>0</Characters>
  <Application>Tencent office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</Properties>
</file>

<file path=docProps/core.xml><?xml version="1.0" encoding="utf-8"?>
<cp:coreProperties xmlns:dc="http://purl.org/dc/elements/1.1/" xmlns:cp="http://schemas.openxmlformats.org/package/2006/metadata/core-properties" xmlns:dcterms="http://purl.org/dc/terms/" xmlns:dcmitype="http://purl.org/dc/dcmitype/" xmlns:xsi="http://www.w3.org/2001/XMLSchema-instance">
  <dc:title/>
  <dc:subject/>
  <dc:creator/>
  <cp:keywords/>
  <dc:description/>
  <cp:lastModifiedBy/>
  <cp:revision>0</cp:revision>
  <dcterms:created xsi:type="dcterms:W3CDTF">2024-10-16T15:36:25Z</dcterms:created>
  <dcterms:modified xsi:type="dcterms:W3CDTF">2024-10-16T15:36:25Z</dcterms:modified>
</cp:coreProperties>
</file>

<file path=tbak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000004"/>
        <w:jc w:val="left"/>
        <w:rPr/>
      </w:pPr>
      <w:r>
        <w:rPr/>
        <w:t>四川外国语大学“2024年世界投资者周”活动暨“探馆学期货，投教郑当时”重庆行活动圆满举办</w:t>
      </w:r>
    </w:p>
    <w:p>
      <w:pPr>
        <w:rPr/>
      </w:pPr>
      <w:r>
        <w:rPr/>
        <w:t xml:space="preserve">  10月15日，四川外国语大学“2024年世界投资者周”活动暨“探馆学期货，投教郑当时”重庆行活动在钟楼下举行。本次活动由四川外国语大学与郑州商品交易所、重庆证券期货业协会以及中信建投期货联合开展。</w:t>
      </w:r>
    </w:p>
    <w:p>
      <w:pPr>
        <w:rPr>
          <w:color w:val="333333"/>
          <w:kern w:val="2"/>
          <w:sz w:val="22"/>
          <w:szCs w:val="22"/>
        </w:rPr>
      </w:pPr>
      <w:r>
        <w:rPr>
          <w:color w:val="333333"/>
          <w:kern w:val="2"/>
          <w:sz w:val="22"/>
          <w:szCs w:val="22"/>
        </w:rPr>
        <w:drawing>
          <wp:inline distT="0" distB="0" distL="0" distR="0">
            <wp:extent cx="5760720" cy="3840480"/>
            <wp:effectExtent l="0" t="0" r="0" b="0"/>
            <wp:docPr id="2" name="picture"/>
            <wp:cNvGraphicFramePr/>
            <a:graphic>
              <a:graphicData uri="http://schemas.openxmlformats.org/drawingml/2006/picture">
                <pic:pic>
                  <pic:nvPicPr>
                    <pic:cNvPr id="3" name="pictur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kern w:val="2"/>
          <w:sz w:val="22"/>
          <w:szCs w:val="22"/>
        </w:rPr>
      </w:pPr>
      <w:r>
        <w:rPr>
          <w:color w:val="333333"/>
          <w:kern w:val="2"/>
          <w:sz w:val="22"/>
          <w:szCs w:val="22"/>
        </w:rPr>
        <w:t xml:space="preserve">  活动伊始，我校领导于会议室与郑州商品交易所、重庆证券期货业协会、中信建投期货各方代表进行了友好会面，并对他们的到访表示了热烈欢迎。</w:t>
      </w:r>
    </w:p>
    <w:p>
      <w:pPr>
        <w:rPr>
          <w:color w:val="333333"/>
          <w:kern w:val="2"/>
          <w:sz w:val="22"/>
          <w:szCs w:val="22"/>
        </w:rPr>
      </w:pPr>
      <w:r>
        <w:rPr>
          <w:color w:val="333333"/>
          <w:kern w:val="2"/>
          <w:sz w:val="22"/>
          <w:szCs w:val="22"/>
        </w:rPr>
        <w:drawing>
          <wp:inline distT="0" distB="0" distL="0" distR="0">
            <wp:extent cx="5760720" cy="3840480"/>
            <wp:effectExtent l="0" t="0" r="0" b="0"/>
            <wp:docPr id="5" name="picture"/>
            <wp:cNvGraphicFramePr/>
            <a:graphic>
              <a:graphicData uri="http://schemas.openxmlformats.org/drawingml/2006/picture">
                <pic:pic>
                  <pic:nvPicPr>
                    <pic:cNvPr id="6" name="pictur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kern w:val="2"/>
          <w:sz w:val="22"/>
          <w:szCs w:val="22"/>
        </w:rPr>
      </w:pPr>
      <w:r>
        <w:rPr>
          <w:color w:val="333333"/>
          <w:kern w:val="2"/>
          <w:sz w:val="22"/>
          <w:szCs w:val="22"/>
        </w:rPr>
        <w:t xml:space="preserve">  随后，金融市集于钟楼下空地开展，活动形式多样，富有意趣。现场设置了“投壶术”“Emoji猜猜猜”等新颖有趣的金融小游戏。学生可通过游园集章的形式兑换奖品以留存纪念。多名2022级国际经济与贸易专业学生积极赴场参会，活动现场氛围如火如荼。</w:t>
      </w:r>
    </w:p>
    <w:p>
      <w:pPr>
        <w:rPr>
          <w:color w:val="333333"/>
          <w:kern w:val="2"/>
          <w:sz w:val="22"/>
          <w:szCs w:val="22"/>
        </w:rPr>
      </w:pPr>
      <w:r>
        <w:rPr>
          <w:color w:val="333333"/>
          <w:kern w:val="2"/>
          <w:sz w:val="22"/>
          <w:szCs w:val="22"/>
        </w:rPr>
        <w:t xml:space="preserve">  活动现场，主持人结合趣味活动普及金融小知识，学生可在趣味游戏互动中学习到金融防骗知识，了解反洗钱，守好钱袋子，抵制非法金融活动，提高自身识风险抵诱惑的能力。</w:t>
      </w:r>
    </w:p>
    <w:p>
      <w:pPr>
        <w:rPr>
          <w:color w:val="333333"/>
          <w:kern w:val="2"/>
          <w:sz w:val="22"/>
          <w:szCs w:val="22"/>
        </w:rPr>
      </w:pPr>
      <w:r>
        <w:rPr>
          <w:color w:val="333333"/>
          <w:kern w:val="2"/>
          <w:sz w:val="22"/>
          <w:szCs w:val="22"/>
        </w:rPr>
        <w:drawing>
          <wp:inline distT="0" distB="0" distL="0" distR="0">
            <wp:extent cx="5760720" cy="3840480"/>
            <wp:effectExtent l="0" t="0" r="0" b="0"/>
            <wp:docPr id="8" name="picture"/>
            <wp:cNvGraphicFramePr/>
            <a:graphic>
              <a:graphicData uri="http://schemas.openxmlformats.org/drawingml/2006/picture">
                <pic:pic>
                  <pic:nvPicPr>
                    <pic:cNvPr id="9" name="pictur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kern w:val="2"/>
          <w:sz w:val="22"/>
          <w:szCs w:val="22"/>
        </w:rPr>
      </w:pPr>
      <w:r>
        <w:rPr>
          <w:color w:val="333333"/>
          <w:kern w:val="2"/>
          <w:sz w:val="22"/>
          <w:szCs w:val="22"/>
        </w:rPr>
        <w:t xml:space="preserve">  此次“2024年世界投资者周”活动暨“探馆学期货，投教郑当时”重庆行活动的开展不仅促进了我校与郑州商品交易所、重庆证券期货业协会以及中信建投期货的友好交流与合作，也促使我校学生了解到了更多反诈防骗的金融知识，提高了我校学生反诈意识与综合素养。</w:t>
      </w:r>
    </w:p>
    <w:p>
      <w:pPr>
        <w:rPr>
          <w:color w:val="333333"/>
          <w:kern w:val="2"/>
          <w:sz w:val="22"/>
          <w:szCs w:val="22"/>
        </w:rPr>
      </w:pPr>
    </w:p>
    <w:bookmarkStart w:id="1" w:name="_GoBack"/>
    <w:bookmarkEnd w:id="1"/>
    <w:p>
      <w:pPr>
        <w:rPr>
          <w:rFonts w:hint="eastAsia" w:eastAsia="minorEastAsia"/>
          <w:color w:val="333333"/>
          <w:kern w:val="2"/>
          <w:sz w:val="22"/>
          <w:szCs w:val="22"/>
          <w:lang w:val="en-US" w:eastAsia="zh-CN"/>
        </w:rPr>
      </w:pPr>
      <w:r>
        <w:rPr>
          <w:rFonts w:hint="eastAsia"/>
          <w:color w:val="333333"/>
          <w:kern w:val="2"/>
          <w:sz w:val="22"/>
          <w:szCs w:val="22"/>
          <w:lang w:val="en-US" w:eastAsia="zh-CN"/>
        </w:rPr>
        <w:t>文字 / 吴林艳</w:t>
      </w:r>
    </w:p>
    <w:sectPr>
      <w:pgSz w:w="11906" w:h="16838"/>
      <w:pgMar w:top="1361" w:right="1417" w:bottom="1361" w:left="1417" w:header="712" w:footer="853" w:gutter="0"/>
      <w:docGrid w:type="default" w:charSpace="0"/>
    </w:sectPr>
  </w:body>
</w:document>
</file>

<file path=tbak/document1.xml><?xml version="1.0" encoding="utf-8"?>
<w:document xmlns:pic="http://schemas.openxmlformats.org/drawingml/2006/picture" xmlns:wp="http://schemas.openxmlformats.org/drawingml/2006/wordprocessingDrawing" xmlns:a="http://schemas.openxmlformats.org/drawingml/2006/main" xmlns:r="http://schemas.openxmlformats.org/officeDocument/2006/relationships" xmlns:w="http://schemas.openxmlformats.org/wordprocessingml/2006/main">
  <w:body>
    <w:p>
      <w:pPr>
        <w:pStyle w:val="000004"/>
        <w:jc w:val="left"/>
        <w:rPr/>
      </w:pPr>
      <w:r>
        <w:rPr/>
        <w:t>四川外国语大学“2024年世界投资者周”活动暨“探馆学期货，投教郑当时”重庆行活动圆满落幕</w:t>
      </w:r>
    </w:p>
    <w:p>
      <w:pPr>
        <w:rPr/>
      </w:pPr>
      <w:r>
        <w:rPr/>
        <w:t xml:space="preserve">  10月15日，四川外国语大学“2024年世界投资者周”活动暨“探馆学期货，投教郑当时”重庆行活动在钟楼下举行。本次活动由四川外国语大学与郑州商品交易所、重庆证券期货业协会以及中信建投期货联合开展。</w:t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drawing>
          <wp:inline distT="0" distB="0" distL="0" distR="0">
            <wp:extent cx="5760720" cy="3840480"/>
            <wp:effectExtent l="0" t="0" r="0" b="0"/>
            <wp:docPr id="1" name="picture"/>
            <wp:cNvGraphicFramePr/>
            <a:graphic>
              <a:graphicData uri="http://schemas.openxmlformats.org/drawingml/2006/picture">
                <pic:pic>
                  <pic:nvPicPr>
                    <pic:cNvPr id="3" name="pictur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sz w:val="22"/>
        </w:rPr>
      </w:pPr>
      <w:r>
        <w:rPr>
          <w:color w:val="333333"/>
          <w:sz w:val="22"/>
        </w:rPr>
        <w:t xml:space="preserve">  此次活动于钟楼下举行金融市集，活动形式多样，富有意趣。现场设置了“投壶术”“Emoji猜猜猜”等新颖有趣的金融小游戏。学生可通过游园集章的形式兑换奖品以留存纪念。多名2022级国际经济与贸易专业学生积极赴场参会，活动现场氛围如火如荼。</w:t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drawing>
          <wp:inline distT="0" distB="0" distL="0" distR="0">
            <wp:extent cx="5760720" cy="3840480"/>
            <wp:effectExtent l="0" t="0" r="0" b="0"/>
            <wp:docPr id="2" name="picture"/>
            <wp:cNvGraphicFramePr/>
            <a:graphic>
              <a:graphicData uri="http://schemas.openxmlformats.org/drawingml/2006/picture">
                <pic:pic>
                  <pic:nvPicPr>
                    <pic:cNvPr id="6" name="picture"/>
                    <pic:cNvPicPr/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t xml:space="preserve">  </w:t>
      </w:r>
    </w:p>
    <w:p>
      <w:pPr>
        <w:rPr>
          <w:color w:val="333333"/>
          <w:sz w:val="22"/>
        </w:rPr>
      </w:pPr>
      <w:r>
        <w:rPr>
          <w:color w:val="333333"/>
          <w:sz w:val="22"/>
        </w:rPr>
        <w:drawing>
          <wp:inline distT="0" distB="0" distL="0" distR="0">
            <wp:extent cx="5633720" cy="3755813"/>
            <wp:effectExtent l="0" t="0" r="0" b="0"/>
            <wp:docPr id="3" name="图片 2" descr="图示, 示意图&amp;#10;&amp;#10;中度可信度描述已自动生成:ver1"/>
            <wp:cNvGraphicFramePr>
              <a:graphicFrameLocks xmlns:pic="http://schemas.openxmlformats.org/drawingml/2006/picture" xmlns:wp="http://schemas.openxmlformats.org/drawingml/2006/wordprocessingDrawing" xmlns:a="http://schemas.openxmlformats.org/drawingml/2006/main" xmlns:r="http://schemas.openxmlformats.org/officeDocument/2006/relationships" xmlns:w="http://schemas.openxmlformats.org/wordprocessingml/2006/main" noChangeAspect="1"/>
            </wp:cNvGraphicFramePr>
            <a:graphic xmlns:pic="http://schemas.openxmlformats.org/drawingml/2006/picture" xmlns:wp="http://schemas.openxmlformats.org/drawingml/2006/wordprocessingDrawing" xmlns:a="http://schemas.openxmlformats.org/drawingml/2006/main" xmlns:r="http://schemas.openxmlformats.org/officeDocument/2006/relationships" xmlns:w="http://schemas.openxmlformats.org/wordprocessingml/2006/main">
              <a:graphicData uri="http://schemas.openxmlformats.org/drawingml/2006/picture">
                <pic:pic xmlns:pic="http://schemas.openxmlformats.org/drawingml/2006/picture" xmlns:wp="http://schemas.openxmlformats.org/drawingml/2006/wordprocessingDrawing" xmlns:a="http://schemas.openxmlformats.org/drawingml/2006/main" xmlns:r="http://schemas.openxmlformats.org/officeDocument/2006/relationships" xmlns:w="http://schemas.openxmlformats.org/wordprocessingml/2006/main">
                  <pic:nvPicPr>
                    <pic:cNvPr id="2" name="图片 2" descr="图示, 示意图&amp;#10;&amp;#10;中度可信度描述已自动生成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33720" cy="3755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t xml:space="preserve">  活动现场，主持人结合趣味活动普及金融小知识，学生可在趣味游戏互动中学习到金融防骗知识，了解反洗钱，守好钱袋子，抵制非法金融活动，提高自身识风险抵诱惑的能力。</w:t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drawing>
          <wp:inline distT="0" distB="0" distL="0" distR="0">
            <wp:extent cx="5760720" cy="3840480"/>
            <wp:effectExtent l="0" t="0" r="0" b="0"/>
            <wp:docPr id="4" name="picture"/>
            <wp:cNvGraphicFramePr/>
            <a:graphic>
              <a:graphicData uri="http://schemas.openxmlformats.org/drawingml/2006/picture">
                <pic:pic>
                  <pic:nvPicPr>
                    <pic:cNvPr id="9" name="picture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333333"/>
          <w:sz w:val="22"/>
          <w:kern w:val="2"/>
          <w:szCs w:val="22"/>
        </w:rPr>
      </w:pPr>
      <w:r>
        <w:rPr>
          <w:color w:val="333333"/>
          <w:sz w:val="22"/>
          <w:kern w:val="2"/>
          <w:szCs w:val="22"/>
        </w:rPr>
        <w:t xml:space="preserve">  此次“2024年世界投资者周”活动暨“探馆学期货，投教郑当时”重庆行活动的开展不仅促进了我校与郑州商品交易所、重庆证券期货业协会以及中信建投期货的友好交流与合作，也促使我校学生了解到了更多反诈防骗的金融知识，提高了我校学生反诈意识与综合素养。</w:t>
      </w:r>
    </w:p>
    <w:p>
      <w:pPr>
        <w:rPr>
          <w:color w:val="333333"/>
          <w:sz w:val="22"/>
          <w:kern w:val="2"/>
          <w:szCs w:val="22"/>
        </w:rPr>
      </w:pPr>
    </w:p>
    <w:p>
      <w:pPr>
        <w:rPr>
          <w:color w:val="333333"/>
          <w:sz w:val="22"/>
          <w:lang w:val="en-US" w:eastAsia="zh-CN"/>
          <w:kern w:val="2"/>
          <w:szCs w:val="22"/>
          <w:rFonts w:eastAsia="minorEastAsia" w:hint="eastAsia"/>
        </w:rPr>
      </w:pPr>
      <w:r>
        <w:rPr>
          <w:color w:val="333333"/>
          <w:sz w:val="22"/>
          <w:lang w:val="en-US" w:eastAsia="zh-CN"/>
          <w:kern w:val="2"/>
          <w:szCs w:val="22"/>
          <w:rFonts w:hint="eastAsia"/>
        </w:rPr>
        <w:t>文字 / 吴林艳</w:t>
      </w:r>
    </w:p>
    <w:sectPr>
      <w:docGrid w:type="default" w:charSpace="0"/>
      <w:pgSz w:w="11906" w:h="16838"/>
      <w:pgMar w:top="1361" w:right="1417" w:bottom="1361" w:left="1417" w:header="712" w:footer="853" w:gutter="0"/>
    </w:sectPr>
  </w:body>
</w:document>
</file>